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58A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AFA98AF" w14:textId="77777777" w:rsidTr="005F7F7E">
        <w:tc>
          <w:tcPr>
            <w:tcW w:w="2438" w:type="dxa"/>
            <w:shd w:val="clear" w:color="auto" w:fill="auto"/>
          </w:tcPr>
          <w:p w14:paraId="437FE50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C81CF4E" w14:textId="77777777" w:rsidR="00F445B1" w:rsidRPr="00F95BC9" w:rsidRDefault="00F445B1" w:rsidP="008879D3">
            <w:pPr>
              <w:rPr>
                <w:rStyle w:val="Firstpagetablebold"/>
              </w:rPr>
            </w:pPr>
            <w:r w:rsidRPr="00F95BC9">
              <w:rPr>
                <w:rStyle w:val="Firstpagetablebold"/>
              </w:rPr>
              <w:t>C</w:t>
            </w:r>
            <w:r w:rsidR="003A5834">
              <w:rPr>
                <w:rStyle w:val="Firstpagetablebold"/>
              </w:rPr>
              <w:t>abinet</w:t>
            </w:r>
            <w:r w:rsidR="001D0059">
              <w:rPr>
                <w:rStyle w:val="Firstpagetablebold"/>
              </w:rPr>
              <w:t xml:space="preserve">                   </w:t>
            </w:r>
            <w:r w:rsidR="00E13D13">
              <w:rPr>
                <w:rStyle w:val="Firstpagetablebold"/>
              </w:rPr>
              <w:t xml:space="preserve">            Council</w:t>
            </w:r>
            <w:r w:rsidR="001D0059">
              <w:rPr>
                <w:rStyle w:val="Firstpagetablebold"/>
              </w:rPr>
              <w:t xml:space="preserve">           </w:t>
            </w:r>
            <w:r w:rsidR="00CD624E">
              <w:rPr>
                <w:rStyle w:val="Firstpagetablebold"/>
              </w:rPr>
              <w:t xml:space="preserve">    </w:t>
            </w:r>
          </w:p>
        </w:tc>
      </w:tr>
      <w:tr w:rsidR="00CE544A" w:rsidRPr="00975B07" w14:paraId="22C882BC" w14:textId="77777777" w:rsidTr="005F7F7E">
        <w:tc>
          <w:tcPr>
            <w:tcW w:w="2438" w:type="dxa"/>
            <w:shd w:val="clear" w:color="auto" w:fill="auto"/>
          </w:tcPr>
          <w:p w14:paraId="3AC0580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FFCDD73" w14:textId="32B397BF" w:rsidR="00F445B1" w:rsidRPr="001356F1" w:rsidRDefault="008879D3" w:rsidP="000070D7">
            <w:pPr>
              <w:rPr>
                <w:b/>
              </w:rPr>
            </w:pPr>
            <w:r>
              <w:rPr>
                <w:rStyle w:val="Firstpagetablebold"/>
              </w:rPr>
              <w:t>1</w:t>
            </w:r>
            <w:r w:rsidR="000070D7">
              <w:rPr>
                <w:rStyle w:val="Firstpagetablebold"/>
              </w:rPr>
              <w:t xml:space="preserve">1 November </w:t>
            </w:r>
            <w:r w:rsidR="00C15DB0">
              <w:rPr>
                <w:rStyle w:val="Firstpagetablebold"/>
              </w:rPr>
              <w:t xml:space="preserve">2020   </w:t>
            </w:r>
            <w:r w:rsidR="00E13D13">
              <w:rPr>
                <w:rStyle w:val="Firstpagetablebold"/>
              </w:rPr>
              <w:t xml:space="preserve">          30 November 2020</w:t>
            </w:r>
            <w:r w:rsidR="00C15DB0">
              <w:rPr>
                <w:rStyle w:val="Firstpagetablebold"/>
              </w:rPr>
              <w:t xml:space="preserve">              </w:t>
            </w:r>
          </w:p>
        </w:tc>
      </w:tr>
      <w:tr w:rsidR="00CE544A" w:rsidRPr="00975B07" w14:paraId="1631F050" w14:textId="77777777" w:rsidTr="005F7F7E">
        <w:tc>
          <w:tcPr>
            <w:tcW w:w="2438" w:type="dxa"/>
            <w:shd w:val="clear" w:color="auto" w:fill="auto"/>
          </w:tcPr>
          <w:p w14:paraId="014C26D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179BC19" w14:textId="77777777"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r w:rsidR="004637F9">
              <w:rPr>
                <w:rStyle w:val="Firstpagetablebold"/>
              </w:rPr>
              <w:t xml:space="preserve"> Services</w:t>
            </w:r>
          </w:p>
        </w:tc>
      </w:tr>
      <w:tr w:rsidR="00CE544A" w:rsidRPr="00975B07" w14:paraId="5BE7FC4D" w14:textId="77777777" w:rsidTr="005F7F7E">
        <w:tc>
          <w:tcPr>
            <w:tcW w:w="2438" w:type="dxa"/>
            <w:shd w:val="clear" w:color="auto" w:fill="auto"/>
          </w:tcPr>
          <w:p w14:paraId="14DCFB3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9E31C3" w14:textId="2121F9CD" w:rsidR="00F445B1" w:rsidRPr="005B552F" w:rsidRDefault="008879D3" w:rsidP="000070D7">
            <w:pPr>
              <w:rPr>
                <w:rStyle w:val="Firstpagetablebold"/>
                <w:b w:val="0"/>
              </w:rPr>
            </w:pPr>
            <w:r w:rsidRPr="008879D3">
              <w:rPr>
                <w:b/>
                <w:bCs/>
                <w:color w:val="auto"/>
              </w:rPr>
              <w:t xml:space="preserve">Project Approval and Allocation of </w:t>
            </w:r>
            <w:r w:rsidR="000070D7">
              <w:rPr>
                <w:b/>
                <w:bCs/>
                <w:color w:val="auto"/>
              </w:rPr>
              <w:t xml:space="preserve">Next Steps Accommodation Programme </w:t>
            </w:r>
            <w:r w:rsidRPr="008879D3">
              <w:rPr>
                <w:b/>
                <w:bCs/>
                <w:color w:val="auto"/>
              </w:rPr>
              <w:t>Funding for Affordable Housing Delivery</w:t>
            </w:r>
            <w:r w:rsidR="000070D7">
              <w:rPr>
                <w:b/>
                <w:bCs/>
                <w:color w:val="auto"/>
              </w:rPr>
              <w:t xml:space="preserve"> &amp; Homelessness Prevention</w:t>
            </w:r>
          </w:p>
        </w:tc>
      </w:tr>
    </w:tbl>
    <w:p w14:paraId="6DC6F68E"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04A159" w14:textId="77777777" w:rsidTr="00FA0742">
        <w:tc>
          <w:tcPr>
            <w:tcW w:w="8845" w:type="dxa"/>
            <w:gridSpan w:val="3"/>
            <w:tcBorders>
              <w:bottom w:val="single" w:sz="8" w:space="0" w:color="000000"/>
            </w:tcBorders>
            <w:hideMark/>
          </w:tcPr>
          <w:p w14:paraId="04ED849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9F83E38" w14:textId="77777777" w:rsidTr="00FA0742">
        <w:tc>
          <w:tcPr>
            <w:tcW w:w="2438" w:type="dxa"/>
            <w:gridSpan w:val="2"/>
            <w:tcBorders>
              <w:top w:val="single" w:sz="8" w:space="0" w:color="000000"/>
              <w:left w:val="single" w:sz="8" w:space="0" w:color="000000"/>
              <w:bottom w:val="nil"/>
              <w:right w:val="nil"/>
            </w:tcBorders>
            <w:hideMark/>
          </w:tcPr>
          <w:p w14:paraId="77AE9CE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0C67EB9" w14:textId="6B1C8F70" w:rsidR="00A375C0" w:rsidRPr="000E26C8" w:rsidRDefault="008879D3" w:rsidP="000070D7">
            <w:pPr>
              <w:rPr>
                <w:rFonts w:cs="Arial"/>
                <w:color w:val="auto"/>
              </w:rPr>
            </w:pPr>
            <w:r w:rsidRPr="008879D3">
              <w:t>T</w:t>
            </w:r>
            <w:r>
              <w:t>o seek</w:t>
            </w:r>
            <w:r w:rsidRPr="008879D3">
              <w:t xml:space="preserve"> project app</w:t>
            </w:r>
            <w:r w:rsidRPr="000070D7">
              <w:t>roval</w:t>
            </w:r>
            <w:r w:rsidR="005C2059" w:rsidRPr="000070D7">
              <w:t xml:space="preserve"> and </w:t>
            </w:r>
            <w:r w:rsidRPr="000070D7">
              <w:t xml:space="preserve">delegations </w:t>
            </w:r>
            <w:r w:rsidR="005C2059" w:rsidRPr="000070D7">
              <w:t>t</w:t>
            </w:r>
            <w:r w:rsidRPr="000070D7">
              <w:t xml:space="preserve">o enable capital </w:t>
            </w:r>
            <w:r w:rsidR="000070D7" w:rsidRPr="000070D7">
              <w:t>spend</w:t>
            </w:r>
            <w:r w:rsidRPr="000070D7">
              <w:t xml:space="preserve">, </w:t>
            </w:r>
            <w:r w:rsidR="000070D7" w:rsidRPr="000070D7">
              <w:t xml:space="preserve">under the </w:t>
            </w:r>
            <w:r w:rsidR="000070D7" w:rsidRPr="000070D7">
              <w:rPr>
                <w:bCs/>
                <w:color w:val="auto"/>
              </w:rPr>
              <w:t>Next Steps Accommodation Programme</w:t>
            </w:r>
            <w:r w:rsidR="000070D7">
              <w:rPr>
                <w:bCs/>
                <w:color w:val="auto"/>
              </w:rPr>
              <w:t xml:space="preserve">, </w:t>
            </w:r>
            <w:r>
              <w:t>using g</w:t>
            </w:r>
            <w:r w:rsidRPr="008879D3">
              <w:t xml:space="preserve">rant received from </w:t>
            </w:r>
            <w:r w:rsidR="000070D7">
              <w:t xml:space="preserve">Government </w:t>
            </w:r>
            <w:r w:rsidRPr="008879D3">
              <w:t>for th</w:t>
            </w:r>
            <w:r w:rsidR="000070D7">
              <w:t xml:space="preserve">e purpose of acquiring additional Council housing for the </w:t>
            </w:r>
            <w:r w:rsidRPr="008879D3">
              <w:t>purpose</w:t>
            </w:r>
            <w:r w:rsidR="000070D7">
              <w:t xml:space="preserve"> of reducing rough sleeping</w:t>
            </w:r>
            <w:r w:rsidRPr="008879D3">
              <w:t xml:space="preserve">.  To delegate </w:t>
            </w:r>
            <w:r w:rsidR="009C35C2">
              <w:t xml:space="preserve">to </w:t>
            </w:r>
            <w:r w:rsidRPr="008879D3">
              <w:t xml:space="preserve">officers to enter into </w:t>
            </w:r>
            <w:r w:rsidR="000070D7">
              <w:t>property purchase</w:t>
            </w:r>
            <w:r w:rsidRPr="008879D3">
              <w:t xml:space="preserve"> and other necessary agreements for the purpose of delivery affordable housing</w:t>
            </w:r>
            <w:r>
              <w:t xml:space="preserve"> through this programme</w:t>
            </w:r>
            <w:r w:rsidRPr="008879D3">
              <w:t>.</w:t>
            </w:r>
          </w:p>
        </w:tc>
      </w:tr>
      <w:tr w:rsidR="00D5547E" w14:paraId="777BFC74" w14:textId="77777777" w:rsidTr="00FA0742">
        <w:tc>
          <w:tcPr>
            <w:tcW w:w="2438" w:type="dxa"/>
            <w:gridSpan w:val="2"/>
            <w:tcBorders>
              <w:top w:val="nil"/>
              <w:left w:val="single" w:sz="8" w:space="0" w:color="000000"/>
              <w:bottom w:val="nil"/>
              <w:right w:val="nil"/>
            </w:tcBorders>
            <w:hideMark/>
          </w:tcPr>
          <w:p w14:paraId="2377E15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90C49E7" w14:textId="77777777" w:rsidR="00D5547E" w:rsidRPr="001356F1" w:rsidRDefault="00D5547E" w:rsidP="00614848">
            <w:r w:rsidRPr="001356F1">
              <w:t xml:space="preserve">Yes </w:t>
            </w:r>
          </w:p>
        </w:tc>
      </w:tr>
      <w:tr w:rsidR="00D5547E" w14:paraId="67CB3A51" w14:textId="77777777" w:rsidTr="00FA0742">
        <w:tc>
          <w:tcPr>
            <w:tcW w:w="2438" w:type="dxa"/>
            <w:gridSpan w:val="2"/>
            <w:tcBorders>
              <w:top w:val="nil"/>
              <w:left w:val="single" w:sz="8" w:space="0" w:color="000000"/>
              <w:bottom w:val="nil"/>
              <w:right w:val="nil"/>
            </w:tcBorders>
            <w:hideMark/>
          </w:tcPr>
          <w:p w14:paraId="6A90F0AA" w14:textId="77777777" w:rsidR="00D5547E" w:rsidRDefault="003270FE" w:rsidP="003270FE">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56D93C8" w14:textId="64837FE1" w:rsidR="000070D7" w:rsidRPr="000070D7" w:rsidRDefault="000070D7" w:rsidP="000070D7">
            <w:pPr>
              <w:rPr>
                <w:rFonts w:cs="Arial"/>
              </w:rPr>
            </w:pPr>
            <w:r w:rsidRPr="000070D7">
              <w:rPr>
                <w:rFonts w:cs="Arial"/>
                <w:color w:val="auto"/>
              </w:rPr>
              <w:t xml:space="preserve">Councillor Mike Rowley, Cabinet Member for </w:t>
            </w:r>
            <w:r w:rsidRPr="000070D7">
              <w:rPr>
                <w:rFonts w:cs="Arial"/>
                <w:bCs/>
                <w:color w:val="auto"/>
              </w:rPr>
              <w:t>Affordable Housing and Housing the Homeless</w:t>
            </w:r>
          </w:p>
        </w:tc>
      </w:tr>
      <w:tr w:rsidR="0080749A" w14:paraId="1E050550" w14:textId="77777777" w:rsidTr="00FA0742">
        <w:tc>
          <w:tcPr>
            <w:tcW w:w="2438" w:type="dxa"/>
            <w:gridSpan w:val="2"/>
            <w:tcBorders>
              <w:top w:val="nil"/>
              <w:left w:val="single" w:sz="8" w:space="0" w:color="000000"/>
              <w:bottom w:val="nil"/>
              <w:right w:val="nil"/>
            </w:tcBorders>
          </w:tcPr>
          <w:p w14:paraId="7A892D6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B9F0162" w14:textId="77777777" w:rsidR="007066D0" w:rsidRPr="001356F1" w:rsidRDefault="00614848" w:rsidP="00CC42CC">
            <w:r>
              <w:t>Meeting Housing Needs</w:t>
            </w:r>
          </w:p>
        </w:tc>
      </w:tr>
      <w:tr w:rsidR="00D5547E" w14:paraId="3888813D" w14:textId="77777777" w:rsidTr="00FA0742">
        <w:tc>
          <w:tcPr>
            <w:tcW w:w="2438" w:type="dxa"/>
            <w:gridSpan w:val="2"/>
            <w:tcBorders>
              <w:top w:val="nil"/>
              <w:left w:val="single" w:sz="8" w:space="0" w:color="000000"/>
              <w:bottom w:val="nil"/>
              <w:right w:val="nil"/>
            </w:tcBorders>
            <w:hideMark/>
          </w:tcPr>
          <w:p w14:paraId="41A9998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273336C" w14:textId="77777777" w:rsidR="00D5547E" w:rsidRPr="001356F1" w:rsidRDefault="00614848" w:rsidP="00614848">
            <w:r>
              <w:t>Housing and Homelessness Strategy 2018 to 2021</w:t>
            </w:r>
          </w:p>
        </w:tc>
      </w:tr>
      <w:tr w:rsidR="005F7F7E" w:rsidRPr="00975B07" w14:paraId="1E22CC71" w14:textId="77777777" w:rsidTr="00FA0742">
        <w:trPr>
          <w:trHeight w:val="413"/>
        </w:trPr>
        <w:tc>
          <w:tcPr>
            <w:tcW w:w="8845" w:type="dxa"/>
            <w:gridSpan w:val="3"/>
            <w:tcBorders>
              <w:bottom w:val="single" w:sz="8" w:space="0" w:color="000000"/>
            </w:tcBorders>
          </w:tcPr>
          <w:p w14:paraId="67D2D42E" w14:textId="1B77E254" w:rsidR="005F7F7E" w:rsidRPr="00975B07" w:rsidRDefault="007863A2" w:rsidP="00F97E07">
            <w:r>
              <w:rPr>
                <w:rStyle w:val="Firstpagetablebold"/>
              </w:rPr>
              <w:t>Recommendations</w:t>
            </w:r>
            <w:r w:rsidR="005F7F7E">
              <w:rPr>
                <w:rStyle w:val="Firstpagetablebold"/>
              </w:rPr>
              <w:t>:</w:t>
            </w:r>
            <w:r w:rsidR="00F97E07">
              <w:rPr>
                <w:rStyle w:val="Firstpagetablebold"/>
              </w:rPr>
              <w:t xml:space="preserve"> </w:t>
            </w:r>
            <w:r w:rsidRPr="007863A2">
              <w:rPr>
                <w:rStyle w:val="Firstpagetablebold"/>
                <w:b w:val="0"/>
              </w:rPr>
              <w:t xml:space="preserve">That </w:t>
            </w:r>
            <w:r w:rsidR="005F7F7E" w:rsidRPr="007863A2">
              <w:rPr>
                <w:rStyle w:val="Firstpagetablebold"/>
                <w:b w:val="0"/>
              </w:rPr>
              <w:t xml:space="preserve"> C</w:t>
            </w:r>
            <w:r w:rsidR="00F97E07" w:rsidRPr="007863A2">
              <w:rPr>
                <w:rStyle w:val="Firstpagetablebold"/>
                <w:b w:val="0"/>
              </w:rPr>
              <w:t>abinet</w:t>
            </w:r>
            <w:r w:rsidR="005F7F7E" w:rsidRPr="007863A2">
              <w:rPr>
                <w:rStyle w:val="Firstpagetablebold"/>
                <w:b w:val="0"/>
              </w:rPr>
              <w:t xml:space="preserve"> resolves to:</w:t>
            </w:r>
          </w:p>
        </w:tc>
      </w:tr>
      <w:tr w:rsidR="0030208D" w:rsidRPr="00975B07" w14:paraId="12CC74E5" w14:textId="77777777" w:rsidTr="00C41220">
        <w:trPr>
          <w:trHeight w:val="283"/>
        </w:trPr>
        <w:tc>
          <w:tcPr>
            <w:tcW w:w="426" w:type="dxa"/>
            <w:tcBorders>
              <w:top w:val="single" w:sz="8" w:space="0" w:color="000000"/>
              <w:left w:val="single" w:sz="8" w:space="0" w:color="000000"/>
              <w:bottom w:val="nil"/>
              <w:right w:val="nil"/>
            </w:tcBorders>
          </w:tcPr>
          <w:p w14:paraId="7CCCF892" w14:textId="1B8A3D3B" w:rsidR="003270FE" w:rsidRPr="00975B07" w:rsidRDefault="00046D2B" w:rsidP="00C41220">
            <w:r w:rsidRPr="00975B07">
              <w:t>1.</w:t>
            </w:r>
          </w:p>
        </w:tc>
        <w:tc>
          <w:tcPr>
            <w:tcW w:w="8419" w:type="dxa"/>
            <w:gridSpan w:val="2"/>
            <w:tcBorders>
              <w:top w:val="single" w:sz="8" w:space="0" w:color="000000"/>
              <w:left w:val="nil"/>
              <w:bottom w:val="nil"/>
              <w:right w:val="single" w:sz="8" w:space="0" w:color="000000"/>
            </w:tcBorders>
            <w:shd w:val="clear" w:color="auto" w:fill="auto"/>
          </w:tcPr>
          <w:p w14:paraId="2EA88A40" w14:textId="64BA1E60" w:rsidR="00C41220" w:rsidRPr="001356F1" w:rsidRDefault="00540FCD" w:rsidP="009C35C2">
            <w:r w:rsidRPr="00522346">
              <w:rPr>
                <w:b/>
              </w:rPr>
              <w:t>Give project approval</w:t>
            </w:r>
            <w:r>
              <w:t xml:space="preserve"> to the proposals, to </w:t>
            </w:r>
            <w:r w:rsidR="000070D7">
              <w:t>accept grant and enter into spend</w:t>
            </w:r>
            <w:r w:rsidR="0040635C">
              <w:t xml:space="preserve"> for </w:t>
            </w:r>
            <w:r w:rsidR="0049619C">
              <w:t>the purpose of delivering more affordable housing in Oxford</w:t>
            </w:r>
            <w:r w:rsidR="005C2059">
              <w:t xml:space="preserve">, </w:t>
            </w:r>
            <w:r w:rsidR="000070D7">
              <w:t xml:space="preserve">specifically under the Next Steps Accommodation Programme </w:t>
            </w:r>
            <w:r w:rsidR="00A62E4A">
              <w:t xml:space="preserve">(NSAP) for the purpose of assisting rough sleepers </w:t>
            </w:r>
            <w:r w:rsidR="005C2059">
              <w:t xml:space="preserve">through </w:t>
            </w:r>
            <w:r w:rsidR="00A62E4A">
              <w:t xml:space="preserve">more affordable accommodation </w:t>
            </w:r>
            <w:r w:rsidR="009C35C2">
              <w:t>using</w:t>
            </w:r>
            <w:r w:rsidR="00A62E4A">
              <w:t xml:space="preserve"> a ‘Housing First’ accommodation model</w:t>
            </w:r>
            <w:r w:rsidR="007863A2">
              <w:t>;</w:t>
            </w:r>
          </w:p>
        </w:tc>
      </w:tr>
      <w:tr w:rsidR="00C41220" w:rsidRPr="00975B07" w14:paraId="3074C05C" w14:textId="77777777" w:rsidTr="00C41220">
        <w:trPr>
          <w:trHeight w:val="283"/>
        </w:trPr>
        <w:tc>
          <w:tcPr>
            <w:tcW w:w="426" w:type="dxa"/>
            <w:tcBorders>
              <w:top w:val="nil"/>
              <w:left w:val="single" w:sz="8" w:space="0" w:color="000000"/>
              <w:bottom w:val="nil"/>
              <w:right w:val="nil"/>
            </w:tcBorders>
          </w:tcPr>
          <w:p w14:paraId="61A9DA1B" w14:textId="6D5895D9" w:rsidR="00C41220" w:rsidRPr="00975B07" w:rsidRDefault="00A62E4A" w:rsidP="00A62E4A">
            <w:r>
              <w:t>2</w:t>
            </w:r>
            <w:r w:rsidR="00C41220">
              <w:t>.</w:t>
            </w:r>
          </w:p>
        </w:tc>
        <w:tc>
          <w:tcPr>
            <w:tcW w:w="8419" w:type="dxa"/>
            <w:gridSpan w:val="2"/>
            <w:tcBorders>
              <w:top w:val="nil"/>
              <w:left w:val="nil"/>
              <w:bottom w:val="nil"/>
              <w:right w:val="single" w:sz="8" w:space="0" w:color="000000"/>
            </w:tcBorders>
            <w:shd w:val="clear" w:color="auto" w:fill="auto"/>
          </w:tcPr>
          <w:p w14:paraId="4C21317F" w14:textId="621C770B" w:rsidR="00C41220" w:rsidRPr="00C41220" w:rsidRDefault="00C41220" w:rsidP="000A7251">
            <w:r w:rsidRPr="00A1161C">
              <w:rPr>
                <w:b/>
              </w:rPr>
              <w:t>Note</w:t>
            </w:r>
            <w:r>
              <w:t xml:space="preserve"> that </w:t>
            </w:r>
            <w:r w:rsidRPr="000A7251">
              <w:rPr>
                <w:color w:val="auto"/>
              </w:rPr>
              <w:t xml:space="preserve">the budget for further </w:t>
            </w:r>
            <w:r w:rsidR="00A62E4A" w:rsidRPr="000A7251">
              <w:rPr>
                <w:color w:val="auto"/>
              </w:rPr>
              <w:t>NSAP grant and spend in 2021/22 wi</w:t>
            </w:r>
            <w:r w:rsidRPr="000A7251">
              <w:rPr>
                <w:color w:val="auto"/>
              </w:rPr>
              <w:t xml:space="preserve">ll be requested in </w:t>
            </w:r>
            <w:r w:rsidR="000A7251" w:rsidRPr="000A7251">
              <w:rPr>
                <w:color w:val="auto"/>
              </w:rPr>
              <w:t>the draft budget 2021/22 report to Cabinet in December 2020, and if agreed, in the budget 2021/22 report to Cabinet and Council in February 2021</w:t>
            </w:r>
            <w:r w:rsidR="007863A2">
              <w:rPr>
                <w:color w:val="auto"/>
              </w:rPr>
              <w:t>;</w:t>
            </w:r>
          </w:p>
        </w:tc>
      </w:tr>
      <w:tr w:rsidR="00C41220" w:rsidRPr="00975B07" w14:paraId="67B128AC" w14:textId="77777777" w:rsidTr="00C41220">
        <w:trPr>
          <w:trHeight w:val="283"/>
        </w:trPr>
        <w:tc>
          <w:tcPr>
            <w:tcW w:w="426" w:type="dxa"/>
            <w:tcBorders>
              <w:top w:val="nil"/>
              <w:left w:val="single" w:sz="8" w:space="0" w:color="000000"/>
              <w:bottom w:val="nil"/>
              <w:right w:val="nil"/>
            </w:tcBorders>
          </w:tcPr>
          <w:p w14:paraId="406B88CE" w14:textId="7D4A8D56" w:rsidR="00C41220" w:rsidRPr="00975B07" w:rsidRDefault="00C41220" w:rsidP="003270FE">
            <w:r>
              <w:t>4.</w:t>
            </w:r>
          </w:p>
        </w:tc>
        <w:tc>
          <w:tcPr>
            <w:tcW w:w="8419" w:type="dxa"/>
            <w:gridSpan w:val="2"/>
            <w:tcBorders>
              <w:top w:val="nil"/>
              <w:left w:val="nil"/>
              <w:bottom w:val="nil"/>
              <w:right w:val="single" w:sz="8" w:space="0" w:color="000000"/>
            </w:tcBorders>
            <w:shd w:val="clear" w:color="auto" w:fill="auto"/>
          </w:tcPr>
          <w:p w14:paraId="786C2415" w14:textId="6E4E1514" w:rsidR="00C41220" w:rsidRPr="00C41220" w:rsidRDefault="00C41220" w:rsidP="00A62E4A">
            <w:pPr>
              <w:rPr>
                <w:rFonts w:cs="Arial"/>
                <w:color w:val="auto"/>
              </w:rPr>
            </w:pPr>
            <w:r>
              <w:rPr>
                <w:rStyle w:val="Firstpagetablebold"/>
              </w:rPr>
              <w:t xml:space="preserve">Delegate authority </w:t>
            </w:r>
            <w:r w:rsidRPr="0070493D">
              <w:rPr>
                <w:rStyle w:val="Firstpagetablebold"/>
                <w:b w:val="0"/>
              </w:rPr>
              <w:t>to the</w:t>
            </w:r>
            <w:r>
              <w:rPr>
                <w:rStyle w:val="Firstpagetablebold"/>
                <w:b w:val="0"/>
              </w:rPr>
              <w:t xml:space="preserve"> Director of Housing, </w:t>
            </w:r>
            <w:r w:rsidRPr="00527D9C">
              <w:rPr>
                <w:color w:val="auto"/>
              </w:rPr>
              <w:t xml:space="preserve">in </w:t>
            </w:r>
            <w:r>
              <w:rPr>
                <w:color w:val="auto"/>
              </w:rPr>
              <w:t>consulta</w:t>
            </w:r>
            <w:r w:rsidRPr="00527D9C">
              <w:rPr>
                <w:color w:val="auto"/>
              </w:rPr>
              <w:t xml:space="preserve">tion with </w:t>
            </w:r>
            <w:r>
              <w:rPr>
                <w:color w:val="auto"/>
              </w:rPr>
              <w:t xml:space="preserve">the </w:t>
            </w:r>
            <w:r>
              <w:rPr>
                <w:rFonts w:cs="Arial"/>
                <w:color w:val="auto"/>
                <w:shd w:val="clear" w:color="auto" w:fill="FFFFFF"/>
              </w:rPr>
              <w:t xml:space="preserve">Cabinet </w:t>
            </w:r>
            <w:r w:rsidRPr="00CF1D2F">
              <w:rPr>
                <w:rFonts w:cs="Arial"/>
                <w:color w:val="auto"/>
                <w:shd w:val="clear" w:color="auto" w:fill="FFFFFF"/>
              </w:rPr>
              <w:t>Member</w:t>
            </w:r>
            <w:r>
              <w:rPr>
                <w:rFonts w:cs="Arial"/>
                <w:color w:val="auto"/>
                <w:shd w:val="clear" w:color="auto" w:fill="FFFFFF"/>
              </w:rPr>
              <w:t xml:space="preserve"> for Affordable Housing</w:t>
            </w:r>
            <w:r w:rsidR="009C35C2">
              <w:t xml:space="preserve"> </w:t>
            </w:r>
            <w:r w:rsidR="009C35C2" w:rsidRPr="009C35C2">
              <w:rPr>
                <w:rFonts w:cs="Arial"/>
                <w:color w:val="auto"/>
                <w:shd w:val="clear" w:color="auto" w:fill="FFFFFF"/>
              </w:rPr>
              <w:t>and Housing the Homeless</w:t>
            </w:r>
            <w:r>
              <w:rPr>
                <w:color w:val="auto"/>
              </w:rPr>
              <w:t xml:space="preserve">; the </w:t>
            </w:r>
            <w:r w:rsidRPr="00527D9C">
              <w:rPr>
                <w:color w:val="auto"/>
              </w:rPr>
              <w:t>Head of Financial Services/Section 151 Officer</w:t>
            </w:r>
            <w:r>
              <w:rPr>
                <w:color w:val="auto"/>
              </w:rPr>
              <w:t>;</w:t>
            </w:r>
            <w:r w:rsidRPr="00527D9C">
              <w:rPr>
                <w:color w:val="auto"/>
              </w:rPr>
              <w:t xml:space="preserve"> and </w:t>
            </w:r>
            <w:r>
              <w:rPr>
                <w:color w:val="auto"/>
              </w:rPr>
              <w:t xml:space="preserve">the </w:t>
            </w:r>
            <w:r w:rsidRPr="00527D9C">
              <w:rPr>
                <w:color w:val="auto"/>
              </w:rPr>
              <w:t>Council’s Monitoring Officer,</w:t>
            </w:r>
            <w:r w:rsidRPr="00527D9C">
              <w:rPr>
                <w:rStyle w:val="Firstpagetablebold"/>
                <w:b w:val="0"/>
                <w:color w:val="auto"/>
              </w:rPr>
              <w:t xml:space="preserve"> to </w:t>
            </w:r>
            <w:r>
              <w:rPr>
                <w:rStyle w:val="Firstpagetablebold"/>
                <w:b w:val="0"/>
                <w:color w:val="auto"/>
              </w:rPr>
              <w:t xml:space="preserve">enter into </w:t>
            </w:r>
            <w:r w:rsidR="00A62E4A">
              <w:rPr>
                <w:rStyle w:val="Firstpagetablebold"/>
                <w:b w:val="0"/>
                <w:color w:val="auto"/>
              </w:rPr>
              <w:t xml:space="preserve">property purchase </w:t>
            </w:r>
            <w:r w:rsidRPr="008879D3">
              <w:t>and other necessary agreements for the purpose of delivery affordable housing</w:t>
            </w:r>
            <w:r>
              <w:t xml:space="preserve"> through the </w:t>
            </w:r>
            <w:r w:rsidR="00A62E4A">
              <w:t xml:space="preserve">NSAP </w:t>
            </w:r>
            <w:r>
              <w:t xml:space="preserve">programme, within </w:t>
            </w:r>
            <w:r>
              <w:rPr>
                <w:rStyle w:val="Firstpagetablebold"/>
                <w:b w:val="0"/>
                <w:color w:val="auto"/>
              </w:rPr>
              <w:t>identified budgets</w:t>
            </w:r>
            <w:r w:rsidR="0040635C">
              <w:rPr>
                <w:rStyle w:val="Firstpagetablebold"/>
                <w:b w:val="0"/>
                <w:color w:val="auto"/>
              </w:rPr>
              <w:t xml:space="preserve">, for the </w:t>
            </w:r>
            <w:r w:rsidR="00A62E4A">
              <w:rPr>
                <w:rStyle w:val="Firstpagetablebold"/>
                <w:b w:val="0"/>
                <w:color w:val="auto"/>
              </w:rPr>
              <w:t xml:space="preserve">work referenced </w:t>
            </w:r>
            <w:r w:rsidR="0040635C">
              <w:rPr>
                <w:rStyle w:val="Firstpagetablebold"/>
                <w:b w:val="0"/>
                <w:color w:val="auto"/>
              </w:rPr>
              <w:t>in this report</w:t>
            </w:r>
            <w:r w:rsidR="007863A2">
              <w:rPr>
                <w:rFonts w:cs="Arial"/>
                <w:color w:val="auto"/>
              </w:rPr>
              <w:t>;</w:t>
            </w:r>
          </w:p>
        </w:tc>
      </w:tr>
      <w:tr w:rsidR="00C41220" w:rsidRPr="00975B07" w14:paraId="01D2A9ED" w14:textId="77777777" w:rsidTr="00C41220">
        <w:trPr>
          <w:trHeight w:val="283"/>
        </w:trPr>
        <w:tc>
          <w:tcPr>
            <w:tcW w:w="426" w:type="dxa"/>
            <w:tcBorders>
              <w:top w:val="nil"/>
              <w:left w:val="single" w:sz="8" w:space="0" w:color="000000"/>
              <w:bottom w:val="nil"/>
              <w:right w:val="nil"/>
            </w:tcBorders>
          </w:tcPr>
          <w:p w14:paraId="770C85D1" w14:textId="301D05BE" w:rsidR="00C41220" w:rsidRPr="00975B07" w:rsidRDefault="00C41220" w:rsidP="003270FE">
            <w:r>
              <w:lastRenderedPageBreak/>
              <w:t>5.</w:t>
            </w:r>
          </w:p>
        </w:tc>
        <w:tc>
          <w:tcPr>
            <w:tcW w:w="8419" w:type="dxa"/>
            <w:gridSpan w:val="2"/>
            <w:tcBorders>
              <w:top w:val="nil"/>
              <w:left w:val="nil"/>
              <w:bottom w:val="nil"/>
              <w:right w:val="single" w:sz="8" w:space="0" w:color="000000"/>
            </w:tcBorders>
            <w:shd w:val="clear" w:color="auto" w:fill="auto"/>
          </w:tcPr>
          <w:p w14:paraId="3676ACDF" w14:textId="3C5B648C" w:rsidR="00C41220" w:rsidRPr="00C41220" w:rsidRDefault="00C41220" w:rsidP="00C41220">
            <w:pPr>
              <w:rPr>
                <w:rFonts w:cs="Arial"/>
                <w:color w:val="auto"/>
                <w:shd w:val="clear" w:color="auto" w:fill="FFFFFF"/>
              </w:rPr>
            </w:pPr>
            <w:r w:rsidRPr="00CF1D2F">
              <w:rPr>
                <w:rFonts w:cs="Arial"/>
                <w:b/>
                <w:bCs/>
                <w:color w:val="auto"/>
                <w:shd w:val="clear" w:color="auto" w:fill="FFFFFF"/>
              </w:rPr>
              <w:t>Delegate authority</w:t>
            </w:r>
            <w:r w:rsidRPr="00CF1D2F">
              <w:rPr>
                <w:rFonts w:cs="Arial"/>
                <w:color w:val="auto"/>
                <w:shd w:val="clear" w:color="auto" w:fill="FFFFFF"/>
              </w:rPr>
              <w:t xml:space="preserve"> to the Chief Executive, </w:t>
            </w:r>
            <w:r>
              <w:rPr>
                <w:rFonts w:cs="Arial"/>
                <w:color w:val="auto"/>
                <w:shd w:val="clear" w:color="auto" w:fill="FFFFFF"/>
              </w:rPr>
              <w:t xml:space="preserve">in consultation with the Cabinet </w:t>
            </w:r>
            <w:r w:rsidRPr="00CF1D2F">
              <w:rPr>
                <w:rFonts w:cs="Arial"/>
                <w:color w:val="auto"/>
                <w:shd w:val="clear" w:color="auto" w:fill="FFFFFF"/>
              </w:rPr>
              <w:t>Members for Finance</w:t>
            </w:r>
            <w:r>
              <w:rPr>
                <w:rFonts w:cs="Arial"/>
                <w:color w:val="auto"/>
                <w:shd w:val="clear" w:color="auto" w:fill="FFFFFF"/>
              </w:rPr>
              <w:t xml:space="preserve"> and Asset Management, and Affordable </w:t>
            </w:r>
            <w:r w:rsidRPr="00CF1D2F">
              <w:rPr>
                <w:rFonts w:cs="Arial"/>
                <w:color w:val="auto"/>
                <w:shd w:val="clear" w:color="auto" w:fill="FFFFFF"/>
              </w:rPr>
              <w:t>Housing</w:t>
            </w:r>
            <w:r w:rsidR="009C35C2">
              <w:t xml:space="preserve"> </w:t>
            </w:r>
            <w:r w:rsidR="009C35C2" w:rsidRPr="009C35C2">
              <w:rPr>
                <w:rFonts w:cs="Arial"/>
                <w:color w:val="auto"/>
                <w:shd w:val="clear" w:color="auto" w:fill="FFFFFF"/>
              </w:rPr>
              <w:t>and Housing the Homeless</w:t>
            </w:r>
            <w:r w:rsidRPr="00CF1D2F">
              <w:rPr>
                <w:rFonts w:cs="Arial"/>
                <w:color w:val="auto"/>
                <w:shd w:val="clear" w:color="auto" w:fill="FFFFFF"/>
              </w:rPr>
              <w:t xml:space="preserve">, to approve any </w:t>
            </w:r>
            <w:r>
              <w:rPr>
                <w:rFonts w:cs="Arial"/>
                <w:color w:val="auto"/>
                <w:shd w:val="clear" w:color="auto" w:fill="FFFFFF"/>
              </w:rPr>
              <w:t xml:space="preserve">agreements </w:t>
            </w:r>
            <w:r w:rsidRPr="00CF1D2F">
              <w:rPr>
                <w:rFonts w:cs="Arial"/>
                <w:color w:val="auto"/>
                <w:shd w:val="clear" w:color="auto" w:fill="FFFFFF"/>
              </w:rPr>
              <w:t xml:space="preserve">over £500,000 for </w:t>
            </w:r>
            <w:r>
              <w:rPr>
                <w:rFonts w:cs="Arial"/>
                <w:color w:val="auto"/>
                <w:shd w:val="clear" w:color="auto" w:fill="FFFFFF"/>
              </w:rPr>
              <w:t>affordable housing, within this project approval and budget envelope</w:t>
            </w:r>
            <w:r w:rsidR="007863A2">
              <w:rPr>
                <w:rFonts w:cs="Arial"/>
                <w:color w:val="auto"/>
                <w:shd w:val="clear" w:color="auto" w:fill="FFFFFF"/>
              </w:rPr>
              <w:t>; and</w:t>
            </w:r>
          </w:p>
        </w:tc>
      </w:tr>
      <w:tr w:rsidR="0030208D" w:rsidRPr="00975B07" w14:paraId="25E8D156" w14:textId="77777777" w:rsidTr="00930B33">
        <w:trPr>
          <w:trHeight w:val="283"/>
        </w:trPr>
        <w:tc>
          <w:tcPr>
            <w:tcW w:w="426" w:type="dxa"/>
            <w:tcBorders>
              <w:top w:val="nil"/>
              <w:left w:val="single" w:sz="8" w:space="0" w:color="000000"/>
              <w:bottom w:val="single" w:sz="8" w:space="0" w:color="000000"/>
              <w:right w:val="nil"/>
            </w:tcBorders>
          </w:tcPr>
          <w:p w14:paraId="48AD3F25" w14:textId="64721A45" w:rsidR="00A12B40" w:rsidRPr="00975B07" w:rsidRDefault="00C41220" w:rsidP="003270FE">
            <w:r>
              <w:t>6.</w:t>
            </w:r>
          </w:p>
        </w:tc>
        <w:tc>
          <w:tcPr>
            <w:tcW w:w="8419" w:type="dxa"/>
            <w:gridSpan w:val="2"/>
            <w:tcBorders>
              <w:top w:val="nil"/>
              <w:left w:val="nil"/>
              <w:bottom w:val="single" w:sz="8" w:space="0" w:color="000000"/>
              <w:right w:val="single" w:sz="8" w:space="0" w:color="000000"/>
            </w:tcBorders>
            <w:shd w:val="clear" w:color="auto" w:fill="auto"/>
          </w:tcPr>
          <w:p w14:paraId="031889D2" w14:textId="77777777" w:rsidR="0040635C" w:rsidRDefault="00C41220" w:rsidP="0043185C">
            <w:r w:rsidRPr="00FA0742">
              <w:rPr>
                <w:b/>
                <w:color w:val="auto"/>
              </w:rPr>
              <w:t>Recommend to Council</w:t>
            </w:r>
            <w:r>
              <w:rPr>
                <w:color w:val="auto"/>
              </w:rPr>
              <w:t xml:space="preserve"> that it approves a revision to the </w:t>
            </w:r>
            <w:r w:rsidR="0043185C">
              <w:rPr>
                <w:color w:val="auto"/>
              </w:rPr>
              <w:t xml:space="preserve">Housing Revenue Account (HRA) </w:t>
            </w:r>
            <w:r>
              <w:rPr>
                <w:color w:val="auto"/>
              </w:rPr>
              <w:t xml:space="preserve">capital budget in </w:t>
            </w:r>
            <w:r w:rsidRPr="005A5ABB">
              <w:rPr>
                <w:color w:val="auto"/>
              </w:rPr>
              <w:t>2020/21 of £</w:t>
            </w:r>
            <w:r w:rsidR="0043185C">
              <w:rPr>
                <w:color w:val="auto"/>
              </w:rPr>
              <w:t>1,195,750</w:t>
            </w:r>
            <w:r w:rsidRPr="005A5ABB">
              <w:rPr>
                <w:color w:val="auto"/>
              </w:rPr>
              <w:t xml:space="preserve"> </w:t>
            </w:r>
            <w:r>
              <w:rPr>
                <w:color w:val="auto"/>
              </w:rPr>
              <w:t xml:space="preserve">for </w:t>
            </w:r>
            <w:r w:rsidRPr="005A5ABB">
              <w:rPr>
                <w:color w:val="auto"/>
              </w:rPr>
              <w:t>the</w:t>
            </w:r>
            <w:r>
              <w:rPr>
                <w:color w:val="auto"/>
              </w:rPr>
              <w:t xml:space="preserve"> initial </w:t>
            </w:r>
            <w:r w:rsidR="0043185C">
              <w:rPr>
                <w:color w:val="auto"/>
              </w:rPr>
              <w:t>purchase of 5 properties, to be funded by capital grant from MHCLG/ Homes England of £150,000; by Oxfordshire Housing and Growth (OGD) Deal funding of £275,000; and HRA Council borrowing of up to £770,750</w:t>
            </w:r>
            <w:r>
              <w:t xml:space="preserve">. </w:t>
            </w:r>
          </w:p>
          <w:p w14:paraId="395C52FF" w14:textId="507D83E6" w:rsidR="0043185C" w:rsidRPr="00C41220" w:rsidRDefault="0043185C" w:rsidP="0043185C">
            <w:pPr>
              <w:rPr>
                <w:color w:val="auto"/>
              </w:rPr>
            </w:pPr>
          </w:p>
        </w:tc>
      </w:tr>
    </w:tbl>
    <w:p w14:paraId="6FB39BC4" w14:textId="77777777"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698975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86BB200" w14:textId="77777777" w:rsidR="00966D42" w:rsidRPr="00975B07" w:rsidRDefault="00966D42" w:rsidP="00263EA3">
            <w:pPr>
              <w:jc w:val="center"/>
            </w:pPr>
            <w:r w:rsidRPr="00745BF0">
              <w:rPr>
                <w:rStyle w:val="Firstpagetablebold"/>
              </w:rPr>
              <w:t>Appendices</w:t>
            </w:r>
          </w:p>
        </w:tc>
      </w:tr>
      <w:tr w:rsidR="00ED5860" w:rsidRPr="00975B07" w14:paraId="25DE3B85" w14:textId="77777777" w:rsidTr="0070493D">
        <w:tc>
          <w:tcPr>
            <w:tcW w:w="2438" w:type="dxa"/>
            <w:tcBorders>
              <w:top w:val="nil"/>
              <w:left w:val="single" w:sz="8" w:space="0" w:color="000000"/>
              <w:bottom w:val="single" w:sz="8" w:space="0" w:color="000000"/>
              <w:right w:val="nil"/>
            </w:tcBorders>
            <w:shd w:val="clear" w:color="auto" w:fill="auto"/>
          </w:tcPr>
          <w:p w14:paraId="16F1FF28" w14:textId="77777777" w:rsidR="004E593F" w:rsidRPr="00975B07" w:rsidRDefault="0030208D" w:rsidP="000E26C8">
            <w:r w:rsidRPr="00975B07">
              <w:t xml:space="preserve">Appendix </w:t>
            </w:r>
            <w:r w:rsidR="008B74E8">
              <w:t>1</w:t>
            </w:r>
          </w:p>
        </w:tc>
        <w:tc>
          <w:tcPr>
            <w:tcW w:w="6406" w:type="dxa"/>
            <w:tcBorders>
              <w:top w:val="nil"/>
              <w:left w:val="nil"/>
              <w:bottom w:val="single" w:sz="8" w:space="0" w:color="000000"/>
              <w:right w:val="single" w:sz="8" w:space="0" w:color="000000"/>
            </w:tcBorders>
          </w:tcPr>
          <w:p w14:paraId="5CD65741" w14:textId="77777777" w:rsidR="004E593F" w:rsidRPr="00965FD0" w:rsidRDefault="000E26C8" w:rsidP="00A1161C">
            <w:r>
              <w:t xml:space="preserve">Risk Register </w:t>
            </w:r>
          </w:p>
        </w:tc>
      </w:tr>
    </w:tbl>
    <w:p w14:paraId="599E2E2A" w14:textId="77777777" w:rsidR="00504508" w:rsidRPr="00504508" w:rsidRDefault="00504508" w:rsidP="004A6D2F">
      <w:pPr>
        <w:pStyle w:val="Heading1"/>
        <w:rPr>
          <w:sz w:val="16"/>
          <w:szCs w:val="16"/>
        </w:rPr>
      </w:pPr>
    </w:p>
    <w:p w14:paraId="245DDAB9" w14:textId="77777777" w:rsidR="0040736F" w:rsidRPr="00094924" w:rsidRDefault="00F66DCA" w:rsidP="004A6D2F">
      <w:pPr>
        <w:pStyle w:val="Heading1"/>
        <w:rPr>
          <w:b w:val="0"/>
        </w:rPr>
      </w:pPr>
      <w:r w:rsidRPr="001356F1">
        <w:t xml:space="preserve">Introduction and </w:t>
      </w:r>
      <w:r w:rsidR="00292559">
        <w:t>B</w:t>
      </w:r>
      <w:r w:rsidR="00151888" w:rsidRPr="001356F1">
        <w:t>ackground</w:t>
      </w:r>
      <w:r w:rsidR="00404032" w:rsidRPr="00094924">
        <w:rPr>
          <w:b w:val="0"/>
        </w:rPr>
        <w:t xml:space="preserve"> </w:t>
      </w:r>
    </w:p>
    <w:p w14:paraId="5EF34557" w14:textId="5BAC09C5" w:rsidR="00CC45EE" w:rsidRDefault="009125C0" w:rsidP="00CC45EE">
      <w:pPr>
        <w:pStyle w:val="ListParagraph"/>
      </w:pPr>
      <w:r w:rsidRPr="00CC45EE">
        <w:t xml:space="preserve">The Council continues to develop a programme of affordable housing supply through multiple work </w:t>
      </w:r>
      <w:r w:rsidR="00CC45EE" w:rsidRPr="00CC45EE">
        <w:t xml:space="preserve">and funding </w:t>
      </w:r>
      <w:r w:rsidRPr="00CC45EE">
        <w:t>streams</w:t>
      </w:r>
      <w:r w:rsidR="00A1161C" w:rsidRPr="00CC45EE">
        <w:t xml:space="preserve">.  </w:t>
      </w:r>
    </w:p>
    <w:p w14:paraId="69203F53" w14:textId="7FFBD35C" w:rsidR="00385766" w:rsidRDefault="00CC45EE" w:rsidP="00CC45EE">
      <w:pPr>
        <w:pStyle w:val="ListParagraph"/>
      </w:pPr>
      <w:r>
        <w:t xml:space="preserve">The Council made a </w:t>
      </w:r>
      <w:r w:rsidR="00B92C58">
        <w:t xml:space="preserve">(revenue and capital) </w:t>
      </w:r>
      <w:r>
        <w:t xml:space="preserve">bid submission for </w:t>
      </w:r>
      <w:r w:rsidR="00B92C58">
        <w:t xml:space="preserve">£1,996,409 </w:t>
      </w:r>
      <w:r>
        <w:t xml:space="preserve">funding under the Government’s Next Steps Accommodation Programme (NSAP) in late August 2020.  This funding programme sought to fund interim and move-on accommodation </w:t>
      </w:r>
      <w:r w:rsidR="00385766">
        <w:t xml:space="preserve">provision </w:t>
      </w:r>
      <w:r>
        <w:t xml:space="preserve">following the ‘everyone in’ </w:t>
      </w:r>
      <w:r w:rsidR="00385766">
        <w:t xml:space="preserve">call, at the start of the Covid-19 lockdown period in March 2020, in which </w:t>
      </w:r>
      <w:r>
        <w:t xml:space="preserve">emergency self-contained accommodation for rough sleepers and persons living in shared-space homelessness accommodation </w:t>
      </w:r>
      <w:r w:rsidR="00385766">
        <w:t xml:space="preserve">was </w:t>
      </w:r>
      <w:r w:rsidR="007F7543">
        <w:t xml:space="preserve">rapidly </w:t>
      </w:r>
      <w:r w:rsidR="00385766">
        <w:t>secured.</w:t>
      </w:r>
    </w:p>
    <w:p w14:paraId="71FFB855" w14:textId="2C6EC038" w:rsidR="00CC45EE" w:rsidRDefault="00CC45EE" w:rsidP="00CC45EE">
      <w:pPr>
        <w:pStyle w:val="ListParagraph"/>
      </w:pPr>
      <w:r>
        <w:t xml:space="preserve">The Government announced in late September 2020, that the interim accommodation and move-on revenue funding was to be awarded </w:t>
      </w:r>
      <w:r w:rsidR="00385766">
        <w:t xml:space="preserve">to the Council </w:t>
      </w:r>
      <w:r>
        <w:t>as detailed in the bid submission.  The capital element of the bid, to provide more units of accommodation, which include</w:t>
      </w:r>
      <w:r w:rsidR="00385766">
        <w:t>s</w:t>
      </w:r>
      <w:r>
        <w:t xml:space="preserve"> up to four years</w:t>
      </w:r>
      <w:r w:rsidR="009C35C2">
        <w:t>’</w:t>
      </w:r>
      <w:r>
        <w:t xml:space="preserve"> of revenue funding to support clients in th</w:t>
      </w:r>
      <w:r w:rsidR="007F7543">
        <w:t>ese homes</w:t>
      </w:r>
      <w:r>
        <w:t>, is undergoing further moderation by Homes England, but an announcement is expected shortly.</w:t>
      </w:r>
    </w:p>
    <w:p w14:paraId="27D631A4" w14:textId="4FDEF770" w:rsidR="0025277C" w:rsidRDefault="00385766" w:rsidP="0025277C">
      <w:pPr>
        <w:pStyle w:val="ListParagraph"/>
      </w:pPr>
      <w:r>
        <w:t>This report is assuming a positive announcement on this funding</w:t>
      </w:r>
      <w:r w:rsidR="007F7543">
        <w:t>, with Oxford City Council being allocated the funding identified for this purpose in the bid</w:t>
      </w:r>
      <w:r>
        <w:t xml:space="preserve">.  The Council needs to mobilise for this now, to have project approval and funding in place </w:t>
      </w:r>
      <w:r w:rsidR="007F7543">
        <w:t xml:space="preserve">by December 2020, in order to ensure the </w:t>
      </w:r>
      <w:r>
        <w:t xml:space="preserve">capital spend is </w:t>
      </w:r>
      <w:r w:rsidR="007F7543">
        <w:t xml:space="preserve">made, in accordance with bid requirements, </w:t>
      </w:r>
      <w:r>
        <w:t>in Quarter 4 (January to March 2021).</w:t>
      </w:r>
    </w:p>
    <w:p w14:paraId="0966053B" w14:textId="2C006173" w:rsidR="005735C5" w:rsidRDefault="005735C5" w:rsidP="0025277C">
      <w:pPr>
        <w:pStyle w:val="ListParagraph"/>
      </w:pPr>
      <w:r>
        <w:t>Should funding not be allocated, then officers propose to reconsider the project to see if any of it remains deliverable within this project approval and within the funding envelope of funds that are still available.</w:t>
      </w:r>
    </w:p>
    <w:p w14:paraId="191F310B" w14:textId="77777777" w:rsidR="00385766" w:rsidRDefault="00385766" w:rsidP="00385766">
      <w:pPr>
        <w:pStyle w:val="ListParagraph"/>
        <w:numPr>
          <w:ilvl w:val="0"/>
          <w:numId w:val="0"/>
        </w:numPr>
        <w:ind w:left="360"/>
      </w:pPr>
    </w:p>
    <w:p w14:paraId="192D2388" w14:textId="77777777" w:rsidR="007863A2" w:rsidRDefault="007863A2" w:rsidP="00385766">
      <w:pPr>
        <w:pStyle w:val="ListParagraph"/>
        <w:numPr>
          <w:ilvl w:val="0"/>
          <w:numId w:val="0"/>
        </w:numPr>
        <w:ind w:left="360"/>
      </w:pPr>
    </w:p>
    <w:p w14:paraId="73B8D59F" w14:textId="77777777" w:rsidR="007863A2" w:rsidRPr="00CC45EE" w:rsidRDefault="007863A2" w:rsidP="00385766">
      <w:pPr>
        <w:pStyle w:val="ListParagraph"/>
        <w:numPr>
          <w:ilvl w:val="0"/>
          <w:numId w:val="0"/>
        </w:numPr>
        <w:ind w:left="360"/>
      </w:pPr>
    </w:p>
    <w:p w14:paraId="25A75025" w14:textId="77777777" w:rsidR="005735C5" w:rsidRDefault="005735C5" w:rsidP="0002747F">
      <w:pPr>
        <w:rPr>
          <w:b/>
        </w:rPr>
      </w:pPr>
    </w:p>
    <w:p w14:paraId="41DD66CE" w14:textId="5C0F398D" w:rsidR="00E851C5" w:rsidRPr="00071693" w:rsidRDefault="007F7543" w:rsidP="0002747F">
      <w:pPr>
        <w:rPr>
          <w:b/>
        </w:rPr>
      </w:pPr>
      <w:r w:rsidRPr="00071693">
        <w:rPr>
          <w:b/>
        </w:rPr>
        <w:lastRenderedPageBreak/>
        <w:t xml:space="preserve">Scheme </w:t>
      </w:r>
      <w:r w:rsidR="00292559" w:rsidRPr="00071693">
        <w:rPr>
          <w:b/>
        </w:rPr>
        <w:t>Details</w:t>
      </w:r>
    </w:p>
    <w:p w14:paraId="73C6EE11" w14:textId="19EDC95C" w:rsidR="00385766" w:rsidRPr="00071693" w:rsidRDefault="00385766" w:rsidP="00385766">
      <w:pPr>
        <w:pStyle w:val="ListParagraph"/>
      </w:pPr>
      <w:r w:rsidRPr="00071693">
        <w:t xml:space="preserve">This </w:t>
      </w:r>
      <w:r w:rsidR="007F7543" w:rsidRPr="00071693">
        <w:t xml:space="preserve">project </w:t>
      </w:r>
      <w:r w:rsidRPr="00071693">
        <w:t xml:space="preserve">seeks to acquire 15 one bed flats to use as Council Social Rented permanent homes.  Allocations </w:t>
      </w:r>
      <w:r w:rsidR="007F7543" w:rsidRPr="00071693">
        <w:t xml:space="preserve">to </w:t>
      </w:r>
      <w:r w:rsidRPr="00071693">
        <w:t xml:space="preserve">these units will be under ‘Housing First’ </w:t>
      </w:r>
      <w:r w:rsidR="007F7543" w:rsidRPr="00071693">
        <w:t>principles</w:t>
      </w:r>
      <w:r w:rsidRPr="00071693">
        <w:t xml:space="preserve">, allocating homes to vulnerable persons who </w:t>
      </w:r>
      <w:r w:rsidR="007F7543" w:rsidRPr="00071693">
        <w:t>have been, or are</w:t>
      </w:r>
      <w:r w:rsidRPr="00071693">
        <w:t xml:space="preserve"> </w:t>
      </w:r>
      <w:r w:rsidR="007F7543" w:rsidRPr="00071693">
        <w:t xml:space="preserve">presently, </w:t>
      </w:r>
      <w:r w:rsidRPr="00071693">
        <w:t xml:space="preserve">rough sleeping, and </w:t>
      </w:r>
      <w:r w:rsidR="007F7543" w:rsidRPr="00071693">
        <w:t xml:space="preserve">who are considered to </w:t>
      </w:r>
      <w:r w:rsidRPr="00071693">
        <w:t>have complex needs that are not best met through other accommodation options in the ‘adult homeless pathway’</w:t>
      </w:r>
    </w:p>
    <w:p w14:paraId="09B3DE66" w14:textId="7A1CD618" w:rsidR="007F7543" w:rsidRPr="00071693" w:rsidRDefault="00385766" w:rsidP="007F7543">
      <w:pPr>
        <w:pStyle w:val="ListParagraph"/>
      </w:pPr>
      <w:r w:rsidRPr="00071693">
        <w:t>This is part of a wider Council programme to develop 50 units of Housing First accommodation dispersed throughout Oxford</w:t>
      </w:r>
      <w:r w:rsidR="007F7543" w:rsidRPr="00071693">
        <w:t xml:space="preserve"> for this purpose</w:t>
      </w:r>
      <w:r w:rsidRPr="00071693">
        <w:t xml:space="preserve">.  The remaining 35 units will be secured as and when </w:t>
      </w:r>
      <w:r w:rsidR="007F7543" w:rsidRPr="00071693">
        <w:t xml:space="preserve">suitable </w:t>
      </w:r>
      <w:r w:rsidRPr="00071693">
        <w:t xml:space="preserve">one beds </w:t>
      </w:r>
      <w:r w:rsidR="007F7543" w:rsidRPr="00071693">
        <w:t xml:space="preserve">properties </w:t>
      </w:r>
      <w:r w:rsidRPr="00071693">
        <w:t xml:space="preserve">become void, over a </w:t>
      </w:r>
      <w:r w:rsidR="007F7543" w:rsidRPr="00071693">
        <w:t>2-3</w:t>
      </w:r>
      <w:r w:rsidRPr="00071693">
        <w:t xml:space="preserve"> year period</w:t>
      </w:r>
      <w:r w:rsidR="007F7543" w:rsidRPr="00071693">
        <w:t xml:space="preserve"> (20</w:t>
      </w:r>
      <w:r w:rsidR="000D6E39">
        <w:t>20</w:t>
      </w:r>
      <w:r w:rsidR="007F7543" w:rsidRPr="00071693">
        <w:t>/</w:t>
      </w:r>
      <w:r w:rsidR="000D6E39">
        <w:t>20</w:t>
      </w:r>
      <w:r w:rsidR="007F7543" w:rsidRPr="00071693">
        <w:t xml:space="preserve">21, </w:t>
      </w:r>
      <w:r w:rsidR="000D6E39">
        <w:t>20</w:t>
      </w:r>
      <w:r w:rsidR="007F7543" w:rsidRPr="00071693">
        <w:t>21/</w:t>
      </w:r>
      <w:r w:rsidR="000D6E39">
        <w:t>20</w:t>
      </w:r>
      <w:r w:rsidR="007F7543" w:rsidRPr="00071693">
        <w:t xml:space="preserve">22 &amp; </w:t>
      </w:r>
      <w:r w:rsidR="000D6E39">
        <w:t>20</w:t>
      </w:r>
      <w:r w:rsidR="007F7543" w:rsidRPr="00071693">
        <w:t>22/</w:t>
      </w:r>
      <w:r w:rsidR="000D6E39">
        <w:t>20</w:t>
      </w:r>
      <w:r w:rsidR="007F7543" w:rsidRPr="00071693">
        <w:t>23)</w:t>
      </w:r>
      <w:r w:rsidRPr="00071693">
        <w:t xml:space="preserve">, from Council and Register Provider </w:t>
      </w:r>
      <w:r w:rsidR="007F7543" w:rsidRPr="00071693">
        <w:t>existing housing sto</w:t>
      </w:r>
      <w:r w:rsidRPr="00071693">
        <w:t xml:space="preserve">ck. </w:t>
      </w:r>
    </w:p>
    <w:p w14:paraId="62A69877" w14:textId="6E167BBD" w:rsidR="00385766" w:rsidRPr="00C637A6" w:rsidRDefault="007F7543" w:rsidP="00385766">
      <w:pPr>
        <w:pStyle w:val="ListParagraph"/>
      </w:pPr>
      <w:r w:rsidRPr="00071693">
        <w:t xml:space="preserve">Approximately, 30 </w:t>
      </w:r>
      <w:r w:rsidR="00385766" w:rsidRPr="00071693">
        <w:t>individuals</w:t>
      </w:r>
      <w:r w:rsidRPr="00071693">
        <w:t xml:space="preserve"> have been identified from the “</w:t>
      </w:r>
      <w:r w:rsidR="00385766" w:rsidRPr="00071693">
        <w:t xml:space="preserve">Everyone In" work, who will be prioritised for this scheme, including </w:t>
      </w:r>
      <w:r w:rsidRPr="00071693">
        <w:t>8</w:t>
      </w:r>
      <w:r w:rsidR="00385766" w:rsidRPr="00071693">
        <w:t xml:space="preserve"> individuals who have not been accommodated at all during the lockdown period. The service is for those </w:t>
      </w:r>
      <w:r w:rsidR="00385766" w:rsidRPr="00C637A6">
        <w:t xml:space="preserve">individuals with multiple and complex needs and a history of entrenched rough sleeping and for those individuals who have a </w:t>
      </w:r>
      <w:r w:rsidRPr="00C637A6">
        <w:t xml:space="preserve">long </w:t>
      </w:r>
      <w:r w:rsidR="00385766" w:rsidRPr="00C637A6">
        <w:t xml:space="preserve">history of </w:t>
      </w:r>
      <w:r w:rsidRPr="00C637A6">
        <w:t xml:space="preserve">using </w:t>
      </w:r>
      <w:r w:rsidR="00385766" w:rsidRPr="00C637A6">
        <w:t>these pathways and returning back on to the streets.</w:t>
      </w:r>
    </w:p>
    <w:p w14:paraId="6FD37BC0" w14:textId="77777777" w:rsidR="00C637A6" w:rsidRPr="00C637A6" w:rsidRDefault="007F7543" w:rsidP="00C637A6">
      <w:pPr>
        <w:pStyle w:val="ListParagraph"/>
      </w:pPr>
      <w:r w:rsidRPr="00C637A6">
        <w:t>The proposal is to acquire 5 one bed flats in the last quarter of 2020/21 using the NSAP funding; OGD funding; and HRA borrowing.  The Council proposes to acquire a further 10 one bed flats for this purpose over 2021/22</w:t>
      </w:r>
      <w:r w:rsidR="00071693" w:rsidRPr="00C637A6">
        <w:t xml:space="preserve">.  The NSAP element of this 2021/22 funding is to be formally bid for under the Homes England ‘continuous market engagement’ process within the Affordable Housing Programme in April 2021.  </w:t>
      </w:r>
    </w:p>
    <w:p w14:paraId="69FA11B8" w14:textId="77777777" w:rsidR="00C637A6" w:rsidRPr="00C637A6" w:rsidRDefault="00C637A6" w:rsidP="00C637A6">
      <w:pPr>
        <w:pStyle w:val="ListParagraph"/>
        <w:numPr>
          <w:ilvl w:val="0"/>
          <w:numId w:val="0"/>
        </w:numPr>
        <w:ind w:left="360"/>
        <w:rPr>
          <w:b/>
        </w:rPr>
      </w:pPr>
    </w:p>
    <w:p w14:paraId="6595EDD3" w14:textId="1F3F5B67" w:rsidR="00E44CBF" w:rsidRPr="00C637A6" w:rsidRDefault="002329CF" w:rsidP="00C637A6">
      <w:pPr>
        <w:rPr>
          <w:b/>
        </w:rPr>
      </w:pPr>
      <w:r w:rsidRPr="00C637A6">
        <w:rPr>
          <w:b/>
        </w:rPr>
        <w:t>Financial implications</w:t>
      </w:r>
    </w:p>
    <w:p w14:paraId="5CA25290" w14:textId="77777777" w:rsidR="00C637A6" w:rsidRDefault="00C637A6" w:rsidP="00C637A6">
      <w:pPr>
        <w:pStyle w:val="ListParagraph"/>
      </w:pPr>
      <w:r>
        <w:t>This report seeks to secure the budget envelope for 2020/21 only, with the 2021/22 budget report addressing next year.</w:t>
      </w:r>
    </w:p>
    <w:p w14:paraId="5A46377A" w14:textId="77777777" w:rsidR="00C637A6" w:rsidRDefault="00C637A6" w:rsidP="00C637A6">
      <w:pPr>
        <w:pStyle w:val="ListParagraph"/>
      </w:pPr>
      <w:r>
        <w:t>The overall funding for the scheme however, is as follows:</w:t>
      </w:r>
    </w:p>
    <w:p w14:paraId="52CB2301" w14:textId="77777777" w:rsidR="00C637A6" w:rsidRPr="00C637A6" w:rsidRDefault="00C637A6" w:rsidP="00C637A6">
      <w:pPr>
        <w:pStyle w:val="ListParagraph"/>
        <w:numPr>
          <w:ilvl w:val="0"/>
          <w:numId w:val="0"/>
        </w:numPr>
        <w:ind w:left="360"/>
        <w:rPr>
          <w:sz w:val="16"/>
          <w:szCs w:val="16"/>
        </w:rPr>
      </w:pPr>
    </w:p>
    <w:tbl>
      <w:tblPr>
        <w:tblStyle w:val="TableGrid"/>
        <w:tblW w:w="0" w:type="auto"/>
        <w:tblInd w:w="360" w:type="dxa"/>
        <w:tblLook w:val="04A0" w:firstRow="1" w:lastRow="0" w:firstColumn="1" w:lastColumn="0" w:noHBand="0" w:noVBand="1"/>
      </w:tblPr>
      <w:tblGrid>
        <w:gridCol w:w="2896"/>
        <w:gridCol w:w="2010"/>
        <w:gridCol w:w="2011"/>
        <w:gridCol w:w="2011"/>
      </w:tblGrid>
      <w:tr w:rsidR="00C637A6" w14:paraId="76DC3267" w14:textId="77777777" w:rsidTr="00427891">
        <w:trPr>
          <w:trHeight w:val="397"/>
        </w:trPr>
        <w:tc>
          <w:tcPr>
            <w:tcW w:w="2896" w:type="dxa"/>
            <w:vAlign w:val="center"/>
          </w:tcPr>
          <w:p w14:paraId="560AB57A" w14:textId="77777777" w:rsidR="00C637A6" w:rsidRPr="00071693" w:rsidRDefault="00C637A6" w:rsidP="00427891">
            <w:pPr>
              <w:pStyle w:val="ListParagraph"/>
              <w:numPr>
                <w:ilvl w:val="0"/>
                <w:numId w:val="0"/>
              </w:numPr>
              <w:rPr>
                <w:b/>
              </w:rPr>
            </w:pPr>
            <w:r w:rsidRPr="00071693">
              <w:rPr>
                <w:b/>
              </w:rPr>
              <w:t>Funding/ Year</w:t>
            </w:r>
          </w:p>
        </w:tc>
        <w:tc>
          <w:tcPr>
            <w:tcW w:w="2010" w:type="dxa"/>
            <w:vAlign w:val="center"/>
          </w:tcPr>
          <w:p w14:paraId="73E0FA89" w14:textId="77777777" w:rsidR="00C637A6" w:rsidRPr="00071693" w:rsidRDefault="00C637A6" w:rsidP="00427891">
            <w:pPr>
              <w:pStyle w:val="ListParagraph"/>
              <w:numPr>
                <w:ilvl w:val="0"/>
                <w:numId w:val="0"/>
              </w:numPr>
              <w:jc w:val="center"/>
              <w:rPr>
                <w:b/>
              </w:rPr>
            </w:pPr>
            <w:r w:rsidRPr="00071693">
              <w:rPr>
                <w:b/>
              </w:rPr>
              <w:t>2020/21 (</w:t>
            </w:r>
            <w:proofErr w:type="spellStart"/>
            <w:r w:rsidRPr="00071693">
              <w:rPr>
                <w:b/>
              </w:rPr>
              <w:t>Qtr</w:t>
            </w:r>
            <w:proofErr w:type="spellEnd"/>
            <w:r w:rsidRPr="00071693">
              <w:rPr>
                <w:b/>
              </w:rPr>
              <w:t xml:space="preserve"> 4)</w:t>
            </w:r>
          </w:p>
        </w:tc>
        <w:tc>
          <w:tcPr>
            <w:tcW w:w="2011" w:type="dxa"/>
            <w:vAlign w:val="center"/>
          </w:tcPr>
          <w:p w14:paraId="18F84538" w14:textId="77777777" w:rsidR="00C637A6" w:rsidRPr="00071693" w:rsidRDefault="00C637A6" w:rsidP="00427891">
            <w:pPr>
              <w:pStyle w:val="ListParagraph"/>
              <w:numPr>
                <w:ilvl w:val="0"/>
                <w:numId w:val="0"/>
              </w:numPr>
              <w:jc w:val="center"/>
              <w:rPr>
                <w:b/>
              </w:rPr>
            </w:pPr>
            <w:r w:rsidRPr="00071693">
              <w:rPr>
                <w:b/>
              </w:rPr>
              <w:t>2021/22</w:t>
            </w:r>
          </w:p>
        </w:tc>
        <w:tc>
          <w:tcPr>
            <w:tcW w:w="2011" w:type="dxa"/>
            <w:vAlign w:val="center"/>
          </w:tcPr>
          <w:p w14:paraId="07843B1B" w14:textId="77777777" w:rsidR="00C637A6" w:rsidRPr="00071693" w:rsidRDefault="00C637A6" w:rsidP="00427891">
            <w:pPr>
              <w:pStyle w:val="ListParagraph"/>
              <w:numPr>
                <w:ilvl w:val="0"/>
                <w:numId w:val="0"/>
              </w:numPr>
              <w:jc w:val="center"/>
              <w:rPr>
                <w:b/>
              </w:rPr>
            </w:pPr>
            <w:r w:rsidRPr="00071693">
              <w:rPr>
                <w:b/>
              </w:rPr>
              <w:t>Total</w:t>
            </w:r>
          </w:p>
        </w:tc>
      </w:tr>
      <w:tr w:rsidR="00C637A6" w14:paraId="1759848A" w14:textId="77777777" w:rsidTr="00427891">
        <w:trPr>
          <w:trHeight w:val="397"/>
        </w:trPr>
        <w:tc>
          <w:tcPr>
            <w:tcW w:w="2896" w:type="dxa"/>
            <w:vAlign w:val="center"/>
          </w:tcPr>
          <w:p w14:paraId="78869113" w14:textId="77777777" w:rsidR="00C637A6" w:rsidRPr="00071693" w:rsidRDefault="00C637A6" w:rsidP="00427891">
            <w:pPr>
              <w:pStyle w:val="ListParagraph"/>
              <w:numPr>
                <w:ilvl w:val="0"/>
                <w:numId w:val="0"/>
              </w:numPr>
            </w:pPr>
            <w:r w:rsidRPr="00071693">
              <w:t>Proposed Spend</w:t>
            </w:r>
          </w:p>
        </w:tc>
        <w:tc>
          <w:tcPr>
            <w:tcW w:w="2010" w:type="dxa"/>
            <w:vAlign w:val="center"/>
          </w:tcPr>
          <w:p w14:paraId="5D788940" w14:textId="77777777" w:rsidR="00C637A6" w:rsidRDefault="00C637A6" w:rsidP="00427891">
            <w:pPr>
              <w:pStyle w:val="ListParagraph"/>
              <w:numPr>
                <w:ilvl w:val="0"/>
                <w:numId w:val="0"/>
              </w:numPr>
              <w:jc w:val="right"/>
            </w:pPr>
            <w:r w:rsidRPr="005A5ABB">
              <w:rPr>
                <w:color w:val="auto"/>
              </w:rPr>
              <w:t>£</w:t>
            </w:r>
            <w:r>
              <w:rPr>
                <w:color w:val="auto"/>
              </w:rPr>
              <w:t>1,195,750</w:t>
            </w:r>
          </w:p>
        </w:tc>
        <w:tc>
          <w:tcPr>
            <w:tcW w:w="2011" w:type="dxa"/>
            <w:vAlign w:val="center"/>
          </w:tcPr>
          <w:p w14:paraId="7436461F" w14:textId="77777777" w:rsidR="00C637A6" w:rsidRDefault="00C637A6" w:rsidP="00427891">
            <w:pPr>
              <w:pStyle w:val="ListParagraph"/>
              <w:numPr>
                <w:ilvl w:val="0"/>
                <w:numId w:val="0"/>
              </w:numPr>
              <w:jc w:val="right"/>
            </w:pPr>
            <w:r>
              <w:rPr>
                <w:color w:val="auto"/>
              </w:rPr>
              <w:t>£2,391,500</w:t>
            </w:r>
          </w:p>
        </w:tc>
        <w:tc>
          <w:tcPr>
            <w:tcW w:w="2011" w:type="dxa"/>
            <w:vAlign w:val="center"/>
          </w:tcPr>
          <w:p w14:paraId="612D065A" w14:textId="77777777" w:rsidR="00C637A6" w:rsidRPr="00C637A6" w:rsidRDefault="00C637A6" w:rsidP="00427891">
            <w:pPr>
              <w:pStyle w:val="ListParagraph"/>
              <w:numPr>
                <w:ilvl w:val="0"/>
                <w:numId w:val="0"/>
              </w:numPr>
              <w:jc w:val="right"/>
            </w:pPr>
            <w:r w:rsidRPr="00C637A6">
              <w:t>£3,587,250</w:t>
            </w:r>
          </w:p>
        </w:tc>
      </w:tr>
      <w:tr w:rsidR="00C637A6" w14:paraId="16AE43D7" w14:textId="77777777" w:rsidTr="00427891">
        <w:trPr>
          <w:trHeight w:val="397"/>
        </w:trPr>
        <w:tc>
          <w:tcPr>
            <w:tcW w:w="2896" w:type="dxa"/>
            <w:vAlign w:val="center"/>
          </w:tcPr>
          <w:p w14:paraId="603E4D71" w14:textId="77777777" w:rsidR="00C637A6" w:rsidRPr="00071693" w:rsidRDefault="00C637A6" w:rsidP="00427891">
            <w:pPr>
              <w:pStyle w:val="ListParagraph"/>
              <w:numPr>
                <w:ilvl w:val="0"/>
                <w:numId w:val="0"/>
              </w:numPr>
            </w:pPr>
            <w:r w:rsidRPr="00071693">
              <w:t xml:space="preserve">NSAP </w:t>
            </w:r>
            <w:r>
              <w:t xml:space="preserve">Capital </w:t>
            </w:r>
            <w:r w:rsidRPr="00071693">
              <w:t>Funding</w:t>
            </w:r>
          </w:p>
        </w:tc>
        <w:tc>
          <w:tcPr>
            <w:tcW w:w="2010" w:type="dxa"/>
            <w:vAlign w:val="center"/>
          </w:tcPr>
          <w:p w14:paraId="512DC171" w14:textId="77777777" w:rsidR="00C637A6" w:rsidRDefault="00C637A6" w:rsidP="00427891">
            <w:pPr>
              <w:pStyle w:val="ListParagraph"/>
              <w:numPr>
                <w:ilvl w:val="0"/>
                <w:numId w:val="0"/>
              </w:numPr>
              <w:jc w:val="right"/>
            </w:pPr>
            <w:r>
              <w:rPr>
                <w:color w:val="auto"/>
              </w:rPr>
              <w:t>£150,000</w:t>
            </w:r>
          </w:p>
        </w:tc>
        <w:tc>
          <w:tcPr>
            <w:tcW w:w="2011" w:type="dxa"/>
            <w:vAlign w:val="center"/>
          </w:tcPr>
          <w:p w14:paraId="6362DA46" w14:textId="77777777" w:rsidR="00C637A6" w:rsidRDefault="00C637A6" w:rsidP="00427891">
            <w:pPr>
              <w:pStyle w:val="ListParagraph"/>
              <w:numPr>
                <w:ilvl w:val="0"/>
                <w:numId w:val="0"/>
              </w:numPr>
              <w:jc w:val="right"/>
            </w:pPr>
            <w:r>
              <w:t>£300,000</w:t>
            </w:r>
          </w:p>
        </w:tc>
        <w:tc>
          <w:tcPr>
            <w:tcW w:w="2011" w:type="dxa"/>
            <w:vAlign w:val="center"/>
          </w:tcPr>
          <w:p w14:paraId="625CA18B" w14:textId="77777777" w:rsidR="00C637A6" w:rsidRDefault="00C637A6" w:rsidP="00427891">
            <w:pPr>
              <w:pStyle w:val="ListParagraph"/>
              <w:numPr>
                <w:ilvl w:val="0"/>
                <w:numId w:val="0"/>
              </w:numPr>
              <w:jc w:val="right"/>
            </w:pPr>
            <w:r>
              <w:t>£450,000</w:t>
            </w:r>
          </w:p>
        </w:tc>
      </w:tr>
      <w:tr w:rsidR="00C637A6" w14:paraId="0980B208" w14:textId="77777777" w:rsidTr="00427891">
        <w:trPr>
          <w:trHeight w:val="397"/>
        </w:trPr>
        <w:tc>
          <w:tcPr>
            <w:tcW w:w="2896" w:type="dxa"/>
            <w:vAlign w:val="center"/>
          </w:tcPr>
          <w:p w14:paraId="366D49A0" w14:textId="77777777" w:rsidR="00C637A6" w:rsidRPr="00071693" w:rsidRDefault="00C637A6" w:rsidP="00427891">
            <w:pPr>
              <w:pStyle w:val="ListParagraph"/>
              <w:numPr>
                <w:ilvl w:val="0"/>
                <w:numId w:val="0"/>
              </w:numPr>
            </w:pPr>
            <w:r w:rsidRPr="00071693">
              <w:t xml:space="preserve">OGD </w:t>
            </w:r>
            <w:r>
              <w:t>Funding</w:t>
            </w:r>
          </w:p>
        </w:tc>
        <w:tc>
          <w:tcPr>
            <w:tcW w:w="2010" w:type="dxa"/>
            <w:vAlign w:val="center"/>
          </w:tcPr>
          <w:p w14:paraId="19AE53A6" w14:textId="77777777" w:rsidR="00C637A6" w:rsidRDefault="00C637A6" w:rsidP="00427891">
            <w:pPr>
              <w:pStyle w:val="ListParagraph"/>
              <w:numPr>
                <w:ilvl w:val="0"/>
                <w:numId w:val="0"/>
              </w:numPr>
              <w:jc w:val="right"/>
            </w:pPr>
            <w:r>
              <w:rPr>
                <w:color w:val="auto"/>
              </w:rPr>
              <w:t>£275,000</w:t>
            </w:r>
          </w:p>
        </w:tc>
        <w:tc>
          <w:tcPr>
            <w:tcW w:w="2011" w:type="dxa"/>
            <w:vAlign w:val="center"/>
          </w:tcPr>
          <w:p w14:paraId="4FCBB695" w14:textId="77777777" w:rsidR="00C637A6" w:rsidRDefault="00C637A6" w:rsidP="00427891">
            <w:pPr>
              <w:pStyle w:val="ListParagraph"/>
              <w:numPr>
                <w:ilvl w:val="0"/>
                <w:numId w:val="0"/>
              </w:numPr>
              <w:jc w:val="right"/>
            </w:pPr>
            <w:r>
              <w:t>£550,000</w:t>
            </w:r>
          </w:p>
        </w:tc>
        <w:tc>
          <w:tcPr>
            <w:tcW w:w="2011" w:type="dxa"/>
            <w:vAlign w:val="center"/>
          </w:tcPr>
          <w:p w14:paraId="55286392" w14:textId="77777777" w:rsidR="00C637A6" w:rsidRDefault="00C637A6" w:rsidP="00427891">
            <w:pPr>
              <w:pStyle w:val="ListParagraph"/>
              <w:numPr>
                <w:ilvl w:val="0"/>
                <w:numId w:val="0"/>
              </w:numPr>
              <w:jc w:val="right"/>
            </w:pPr>
            <w:r>
              <w:t>£825,000</w:t>
            </w:r>
          </w:p>
        </w:tc>
      </w:tr>
      <w:tr w:rsidR="00C637A6" w14:paraId="44DC641E" w14:textId="77777777" w:rsidTr="00427891">
        <w:trPr>
          <w:trHeight w:val="397"/>
        </w:trPr>
        <w:tc>
          <w:tcPr>
            <w:tcW w:w="2896" w:type="dxa"/>
            <w:vAlign w:val="center"/>
          </w:tcPr>
          <w:p w14:paraId="293A9627" w14:textId="77777777" w:rsidR="00C637A6" w:rsidRPr="00071693" w:rsidRDefault="00C637A6" w:rsidP="00427891">
            <w:pPr>
              <w:pStyle w:val="ListParagraph"/>
              <w:numPr>
                <w:ilvl w:val="0"/>
                <w:numId w:val="0"/>
              </w:numPr>
            </w:pPr>
            <w:r w:rsidRPr="00071693">
              <w:t>HRA Borrowing</w:t>
            </w:r>
          </w:p>
        </w:tc>
        <w:tc>
          <w:tcPr>
            <w:tcW w:w="2010" w:type="dxa"/>
            <w:vAlign w:val="center"/>
          </w:tcPr>
          <w:p w14:paraId="479F2751" w14:textId="77777777" w:rsidR="00C637A6" w:rsidRDefault="00C637A6" w:rsidP="00427891">
            <w:pPr>
              <w:pStyle w:val="ListParagraph"/>
              <w:numPr>
                <w:ilvl w:val="0"/>
                <w:numId w:val="0"/>
              </w:numPr>
              <w:jc w:val="right"/>
            </w:pPr>
            <w:r>
              <w:rPr>
                <w:color w:val="auto"/>
              </w:rPr>
              <w:t>£770,750</w:t>
            </w:r>
          </w:p>
        </w:tc>
        <w:tc>
          <w:tcPr>
            <w:tcW w:w="2011" w:type="dxa"/>
            <w:vAlign w:val="center"/>
          </w:tcPr>
          <w:p w14:paraId="3FB41D67" w14:textId="77777777" w:rsidR="00C637A6" w:rsidRDefault="00C637A6" w:rsidP="00427891">
            <w:pPr>
              <w:pStyle w:val="ListParagraph"/>
              <w:numPr>
                <w:ilvl w:val="0"/>
                <w:numId w:val="0"/>
              </w:numPr>
              <w:jc w:val="right"/>
            </w:pPr>
            <w:r>
              <w:t>£1,541,500</w:t>
            </w:r>
          </w:p>
        </w:tc>
        <w:tc>
          <w:tcPr>
            <w:tcW w:w="2011" w:type="dxa"/>
            <w:vAlign w:val="center"/>
          </w:tcPr>
          <w:p w14:paraId="7BD8BD20" w14:textId="77777777" w:rsidR="00C637A6" w:rsidRDefault="00C637A6" w:rsidP="00427891">
            <w:pPr>
              <w:pStyle w:val="ListParagraph"/>
              <w:numPr>
                <w:ilvl w:val="0"/>
                <w:numId w:val="0"/>
              </w:numPr>
              <w:jc w:val="right"/>
            </w:pPr>
            <w:r>
              <w:t>£2,312,250</w:t>
            </w:r>
          </w:p>
        </w:tc>
      </w:tr>
      <w:tr w:rsidR="00C637A6" w14:paraId="2E438523" w14:textId="77777777" w:rsidTr="00427891">
        <w:trPr>
          <w:trHeight w:val="397"/>
        </w:trPr>
        <w:tc>
          <w:tcPr>
            <w:tcW w:w="2896" w:type="dxa"/>
            <w:vAlign w:val="center"/>
          </w:tcPr>
          <w:p w14:paraId="55F9B787" w14:textId="77777777" w:rsidR="00C637A6" w:rsidRPr="00071693" w:rsidRDefault="00C637A6" w:rsidP="00427891">
            <w:pPr>
              <w:pStyle w:val="ListParagraph"/>
              <w:numPr>
                <w:ilvl w:val="0"/>
                <w:numId w:val="0"/>
              </w:numPr>
              <w:rPr>
                <w:b/>
              </w:rPr>
            </w:pPr>
            <w:r w:rsidRPr="00071693">
              <w:rPr>
                <w:b/>
              </w:rPr>
              <w:t>Funding Total</w:t>
            </w:r>
          </w:p>
        </w:tc>
        <w:tc>
          <w:tcPr>
            <w:tcW w:w="2010" w:type="dxa"/>
            <w:vAlign w:val="center"/>
          </w:tcPr>
          <w:p w14:paraId="68028DB5" w14:textId="77777777" w:rsidR="00C637A6" w:rsidRPr="00C637A6" w:rsidRDefault="00C637A6" w:rsidP="00427891">
            <w:pPr>
              <w:pStyle w:val="ListParagraph"/>
              <w:numPr>
                <w:ilvl w:val="0"/>
                <w:numId w:val="0"/>
              </w:numPr>
              <w:jc w:val="right"/>
              <w:rPr>
                <w:b/>
              </w:rPr>
            </w:pPr>
            <w:r w:rsidRPr="00C637A6">
              <w:rPr>
                <w:b/>
                <w:color w:val="auto"/>
              </w:rPr>
              <w:t>£1,195,750</w:t>
            </w:r>
          </w:p>
        </w:tc>
        <w:tc>
          <w:tcPr>
            <w:tcW w:w="2011" w:type="dxa"/>
            <w:vAlign w:val="center"/>
          </w:tcPr>
          <w:p w14:paraId="45034686" w14:textId="77777777" w:rsidR="00C637A6" w:rsidRPr="00C637A6" w:rsidRDefault="00C637A6" w:rsidP="00427891">
            <w:pPr>
              <w:pStyle w:val="ListParagraph"/>
              <w:numPr>
                <w:ilvl w:val="0"/>
                <w:numId w:val="0"/>
              </w:numPr>
              <w:jc w:val="right"/>
              <w:rPr>
                <w:b/>
              </w:rPr>
            </w:pPr>
            <w:r w:rsidRPr="00C637A6">
              <w:rPr>
                <w:b/>
                <w:color w:val="auto"/>
              </w:rPr>
              <w:t>£2,391,500</w:t>
            </w:r>
          </w:p>
        </w:tc>
        <w:tc>
          <w:tcPr>
            <w:tcW w:w="2011" w:type="dxa"/>
            <w:vAlign w:val="center"/>
          </w:tcPr>
          <w:p w14:paraId="29B5607E" w14:textId="77777777" w:rsidR="00C637A6" w:rsidRPr="00071693" w:rsidRDefault="00C637A6" w:rsidP="00427891">
            <w:pPr>
              <w:pStyle w:val="ListParagraph"/>
              <w:numPr>
                <w:ilvl w:val="0"/>
                <w:numId w:val="0"/>
              </w:numPr>
              <w:jc w:val="right"/>
              <w:rPr>
                <w:b/>
              </w:rPr>
            </w:pPr>
            <w:r>
              <w:rPr>
                <w:b/>
              </w:rPr>
              <w:t>£3,587,250</w:t>
            </w:r>
          </w:p>
        </w:tc>
      </w:tr>
    </w:tbl>
    <w:p w14:paraId="6F574E81" w14:textId="77777777" w:rsidR="00C637A6" w:rsidRPr="0040635C" w:rsidRDefault="00C637A6" w:rsidP="00C637A6">
      <w:pPr>
        <w:pStyle w:val="ListParagraph"/>
        <w:numPr>
          <w:ilvl w:val="0"/>
          <w:numId w:val="0"/>
        </w:numPr>
        <w:ind w:left="360"/>
      </w:pPr>
    </w:p>
    <w:p w14:paraId="036B8CF3" w14:textId="38DFCAB6" w:rsidR="00C637A6" w:rsidRPr="00C637A6" w:rsidRDefault="00C637A6" w:rsidP="00C637A6">
      <w:pPr>
        <w:pStyle w:val="ListParagraph"/>
        <w:rPr>
          <w:rFonts w:cs="Arial"/>
          <w:color w:val="auto"/>
        </w:rPr>
      </w:pPr>
      <w:r w:rsidRPr="00071693">
        <w:rPr>
          <w:color w:val="auto"/>
        </w:rPr>
        <w:t>The schemes and funding, as set out above, are included in the current Oxford City element of the Oxfordshire Housing and Growth Deal programme, as a Year 3 (</w:t>
      </w:r>
      <w:r w:rsidR="000D6E39">
        <w:rPr>
          <w:color w:val="auto"/>
        </w:rPr>
        <w:t>20</w:t>
      </w:r>
      <w:r w:rsidRPr="00071693">
        <w:rPr>
          <w:color w:val="auto"/>
        </w:rPr>
        <w:t>20/21) and a Year 4 (</w:t>
      </w:r>
      <w:r w:rsidR="000D6E39">
        <w:rPr>
          <w:color w:val="auto"/>
        </w:rPr>
        <w:t>20</w:t>
      </w:r>
      <w:r w:rsidRPr="00071693">
        <w:rPr>
          <w:color w:val="auto"/>
        </w:rPr>
        <w:t>21/22) scheme accordingly.</w:t>
      </w:r>
    </w:p>
    <w:p w14:paraId="77948E73" w14:textId="77777777" w:rsidR="009654D5" w:rsidRPr="0040635C" w:rsidRDefault="009654D5" w:rsidP="0040635C">
      <w:pPr>
        <w:rPr>
          <w:rFonts w:cs="Arial"/>
          <w:sz w:val="16"/>
          <w:szCs w:val="16"/>
        </w:rPr>
      </w:pPr>
    </w:p>
    <w:p w14:paraId="1EBA6D57" w14:textId="77777777" w:rsidR="005735C5" w:rsidRDefault="005735C5" w:rsidP="002A258E">
      <w:pPr>
        <w:pStyle w:val="Heading1"/>
      </w:pPr>
    </w:p>
    <w:p w14:paraId="1929D1AF" w14:textId="77777777" w:rsidR="002A258E" w:rsidRPr="001356F1" w:rsidRDefault="002A258E" w:rsidP="002A258E">
      <w:pPr>
        <w:pStyle w:val="Heading1"/>
      </w:pPr>
      <w:r w:rsidRPr="001356F1">
        <w:lastRenderedPageBreak/>
        <w:t>Legal issues</w:t>
      </w:r>
    </w:p>
    <w:p w14:paraId="745DDC72" w14:textId="25C25747" w:rsidR="00801079" w:rsidRDefault="0066282C" w:rsidP="00801079">
      <w:pPr>
        <w:pStyle w:val="ListParagraph"/>
        <w:rPr>
          <w:rFonts w:cs="Arial"/>
          <w:color w:val="auto"/>
        </w:rPr>
      </w:pPr>
      <w:r w:rsidRPr="00A73E55">
        <w:rPr>
          <w:rFonts w:cs="Arial"/>
          <w:color w:val="auto"/>
        </w:rPr>
        <w:t>The</w:t>
      </w:r>
      <w:r w:rsidR="00D3546E">
        <w:rPr>
          <w:rFonts w:cs="Arial"/>
          <w:color w:val="auto"/>
        </w:rPr>
        <w:t xml:space="preserve"> activity, as set out in this report, relates to activity for the </w:t>
      </w:r>
      <w:r w:rsidR="00BC047B">
        <w:rPr>
          <w:rFonts w:cs="Arial"/>
          <w:color w:val="auto"/>
        </w:rPr>
        <w:t xml:space="preserve">purpose of developing homes as </w:t>
      </w:r>
      <w:r w:rsidR="00D3546E">
        <w:rPr>
          <w:rFonts w:cs="Arial"/>
          <w:color w:val="auto"/>
        </w:rPr>
        <w:t>affordable housing</w:t>
      </w:r>
      <w:r w:rsidR="00B00C0D">
        <w:rPr>
          <w:rFonts w:cs="Arial"/>
          <w:color w:val="auto"/>
        </w:rPr>
        <w:t>, and of preventing homelessness</w:t>
      </w:r>
      <w:r w:rsidR="00D9587A">
        <w:rPr>
          <w:rFonts w:cs="Arial"/>
          <w:color w:val="auto"/>
        </w:rPr>
        <w:t>.</w:t>
      </w:r>
    </w:p>
    <w:p w14:paraId="69A5013D" w14:textId="77777777" w:rsidR="000A7251" w:rsidRDefault="001618E5" w:rsidP="000A7251">
      <w:pPr>
        <w:pStyle w:val="ListParagraph"/>
        <w:rPr>
          <w:rFonts w:cs="Arial"/>
          <w:color w:val="auto"/>
        </w:rPr>
      </w:pPr>
      <w:r w:rsidRPr="001618E5">
        <w:rPr>
          <w:rFonts w:cs="Arial"/>
          <w:color w:val="auto"/>
        </w:rPr>
        <w:t xml:space="preserve">The Council has the powers to purchase land </w:t>
      </w:r>
      <w:r>
        <w:rPr>
          <w:rFonts w:cs="Arial"/>
          <w:color w:val="auto"/>
        </w:rPr>
        <w:t xml:space="preserve">and property </w:t>
      </w:r>
      <w:r w:rsidRPr="001618E5">
        <w:rPr>
          <w:rFonts w:cs="Arial"/>
          <w:color w:val="auto"/>
        </w:rPr>
        <w:t xml:space="preserve">for the development </w:t>
      </w:r>
      <w:r>
        <w:rPr>
          <w:rFonts w:cs="Arial"/>
          <w:color w:val="auto"/>
        </w:rPr>
        <w:t xml:space="preserve">of or use as </w:t>
      </w:r>
      <w:r w:rsidRPr="001618E5">
        <w:rPr>
          <w:rFonts w:cs="Arial"/>
          <w:color w:val="auto"/>
        </w:rPr>
        <w:t>Affordable Housing by virtue of Sections 1 to 7 of the Localism Act 2011.</w:t>
      </w:r>
    </w:p>
    <w:p w14:paraId="529B8663" w14:textId="7A2D82DC" w:rsidR="001618E5" w:rsidRPr="000A7251" w:rsidRDefault="001618E5" w:rsidP="000A7251">
      <w:pPr>
        <w:pStyle w:val="ListParagraph"/>
        <w:rPr>
          <w:rFonts w:cs="Arial"/>
          <w:color w:val="auto"/>
        </w:rPr>
      </w:pPr>
      <w:r w:rsidRPr="000A7251">
        <w:rPr>
          <w:rFonts w:cs="Arial"/>
          <w:color w:val="auto"/>
        </w:rPr>
        <w:t>The Homelessness Reduction Act 2017 places duties on the Council to assess an applicant's needs and to prevent and relieve homelessness.</w:t>
      </w:r>
    </w:p>
    <w:p w14:paraId="4FDEF241" w14:textId="3F021BDF" w:rsidR="00D3546E" w:rsidRPr="00BC047B" w:rsidRDefault="00D3546E" w:rsidP="00801079">
      <w:pPr>
        <w:pStyle w:val="ListParagraph"/>
        <w:rPr>
          <w:rFonts w:cs="Arial"/>
          <w:color w:val="auto"/>
        </w:rPr>
      </w:pPr>
      <w:r>
        <w:t xml:space="preserve">Any procurement of goods and services for the purpose of developing homes will be in accordance with the Council’s constitution and </w:t>
      </w:r>
      <w:r w:rsidR="003F68A1">
        <w:t xml:space="preserve">procurement </w:t>
      </w:r>
      <w:r>
        <w:t xml:space="preserve">procedures </w:t>
      </w:r>
      <w:r w:rsidR="00A67B6C">
        <w:t xml:space="preserve">complying with </w:t>
      </w:r>
      <w:r w:rsidR="00A67B6C" w:rsidRPr="00801079">
        <w:rPr>
          <w:rFonts w:cs="Arial"/>
          <w:color w:val="auto"/>
        </w:rPr>
        <w:t>The Public Contracts Regulations 2015</w:t>
      </w:r>
      <w:r w:rsidR="00A67B6C">
        <w:t xml:space="preserve"> </w:t>
      </w:r>
      <w:r>
        <w:t xml:space="preserve">for such, including ensuring that value </w:t>
      </w:r>
      <w:r w:rsidR="001618E5">
        <w:t xml:space="preserve">for money </w:t>
      </w:r>
      <w:r>
        <w:t>is achieved.</w:t>
      </w:r>
    </w:p>
    <w:p w14:paraId="370096BC" w14:textId="77777777" w:rsidR="00BC047B" w:rsidRPr="0040635C" w:rsidRDefault="00BC047B" w:rsidP="00BC047B">
      <w:pPr>
        <w:pStyle w:val="ListParagraph"/>
        <w:numPr>
          <w:ilvl w:val="0"/>
          <w:numId w:val="0"/>
        </w:numPr>
        <w:ind w:left="360"/>
        <w:rPr>
          <w:rFonts w:cs="Arial"/>
          <w:color w:val="auto"/>
          <w:sz w:val="16"/>
          <w:szCs w:val="16"/>
        </w:rPr>
      </w:pPr>
    </w:p>
    <w:p w14:paraId="2CA36C16" w14:textId="77777777" w:rsidR="00CE35E8" w:rsidRPr="0053400A" w:rsidRDefault="00CE35E8" w:rsidP="0053400A">
      <w:pPr>
        <w:rPr>
          <w:rFonts w:cs="Arial"/>
          <w:color w:val="auto"/>
          <w:lang w:val="en-US"/>
        </w:rPr>
      </w:pPr>
      <w:r w:rsidRPr="0053400A">
        <w:rPr>
          <w:b/>
        </w:rPr>
        <w:t>Level of risk</w:t>
      </w:r>
    </w:p>
    <w:p w14:paraId="14764DE7" w14:textId="77777777" w:rsidR="00801079" w:rsidRDefault="00CE35E8" w:rsidP="00641426">
      <w:pPr>
        <w:pStyle w:val="ListParagraph"/>
      </w:pPr>
      <w:r w:rsidRPr="001356F1">
        <w:t>A</w:t>
      </w:r>
      <w:r>
        <w:t xml:space="preserve"> </w:t>
      </w:r>
      <w:r w:rsidRPr="001356F1">
        <w:t xml:space="preserve">Risk Register </w:t>
      </w:r>
      <w:r>
        <w:t xml:space="preserve">is provided at </w:t>
      </w:r>
      <w:r w:rsidRPr="00D9587A">
        <w:t xml:space="preserve">Appendix </w:t>
      </w:r>
      <w:r w:rsidR="00A1161C">
        <w:t>1</w:t>
      </w:r>
      <w:r w:rsidRPr="00D9587A">
        <w:t xml:space="preserve">. </w:t>
      </w:r>
    </w:p>
    <w:p w14:paraId="19975C74" w14:textId="77777777" w:rsidR="00A1161C" w:rsidRPr="0040635C" w:rsidRDefault="00A1161C" w:rsidP="00A1161C">
      <w:pPr>
        <w:pStyle w:val="ListParagraph"/>
        <w:numPr>
          <w:ilvl w:val="0"/>
          <w:numId w:val="0"/>
        </w:numPr>
        <w:ind w:left="360"/>
        <w:rPr>
          <w:sz w:val="16"/>
          <w:szCs w:val="16"/>
        </w:rPr>
      </w:pPr>
    </w:p>
    <w:p w14:paraId="5EC29732" w14:textId="77777777" w:rsidR="00DB167B" w:rsidRPr="00801079" w:rsidRDefault="00DB167B" w:rsidP="00801079">
      <w:pPr>
        <w:rPr>
          <w:b/>
        </w:rPr>
      </w:pPr>
      <w:r w:rsidRPr="00801079">
        <w:rPr>
          <w:b/>
        </w:rPr>
        <w:t>Conclusion</w:t>
      </w:r>
    </w:p>
    <w:p w14:paraId="6A2F36D2" w14:textId="5F29D51F" w:rsidR="005B552F" w:rsidRDefault="00CE35E8" w:rsidP="00DB167B">
      <w:pPr>
        <w:pStyle w:val="ListParagraph"/>
      </w:pPr>
      <w:r>
        <w:t xml:space="preserve">That the Council </w:t>
      </w:r>
      <w:r w:rsidR="006C658C">
        <w:t>agrees to spending as set out in this report to further support</w:t>
      </w:r>
      <w:r w:rsidR="00A24195">
        <w:t xml:space="preserve"> </w:t>
      </w:r>
      <w:r w:rsidR="00D9587A">
        <w:t>the deliv</w:t>
      </w:r>
      <w:r w:rsidR="006C658C">
        <w:t xml:space="preserve">ery of </w:t>
      </w:r>
      <w:r w:rsidR="00A24195">
        <w:t xml:space="preserve"> </w:t>
      </w:r>
      <w:r w:rsidR="00D9587A">
        <w:t xml:space="preserve">more </w:t>
      </w:r>
      <w:r w:rsidR="006C658C">
        <w:t xml:space="preserve">affordable housing to help </w:t>
      </w:r>
      <w:r w:rsidR="00B00C0D">
        <w:t>vulnerable rough sleepers secure permanent affordable homes, with appropriate support, under ‘Housing First’ principles</w:t>
      </w:r>
      <w:r w:rsidR="006C658C">
        <w:t>.</w:t>
      </w:r>
    </w:p>
    <w:p w14:paraId="30571871" w14:textId="77777777"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14:paraId="190D4156" w14:textId="77777777"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8516E16" w14:textId="77777777"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6F8FCF7" w14:textId="77777777" w:rsidR="00CE35E8" w:rsidRPr="001356F1" w:rsidRDefault="00CE35E8" w:rsidP="006914A9">
            <w:r>
              <w:t>Dave Scholes</w:t>
            </w:r>
          </w:p>
        </w:tc>
      </w:tr>
      <w:tr w:rsidR="00CE35E8" w:rsidRPr="001356F1" w14:paraId="3E2C1E91" w14:textId="77777777" w:rsidTr="006914A9">
        <w:trPr>
          <w:cantSplit/>
          <w:trHeight w:val="396"/>
        </w:trPr>
        <w:tc>
          <w:tcPr>
            <w:tcW w:w="3969" w:type="dxa"/>
            <w:tcBorders>
              <w:top w:val="single" w:sz="8" w:space="0" w:color="000000"/>
              <w:left w:val="single" w:sz="8" w:space="0" w:color="000000"/>
              <w:bottom w:val="nil"/>
              <w:right w:val="nil"/>
            </w:tcBorders>
            <w:shd w:val="clear" w:color="auto" w:fill="auto"/>
          </w:tcPr>
          <w:p w14:paraId="2C903D29" w14:textId="77777777"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14:paraId="34871B39" w14:textId="2284F920" w:rsidR="00CE35E8" w:rsidRPr="001356F1" w:rsidRDefault="00B00C0D" w:rsidP="00B00C0D">
            <w:r>
              <w:t xml:space="preserve">Affordable </w:t>
            </w:r>
            <w:r w:rsidR="00CE35E8">
              <w:t>Housing S</w:t>
            </w:r>
            <w:r>
              <w:t>upply Lead</w:t>
            </w:r>
          </w:p>
        </w:tc>
      </w:tr>
      <w:tr w:rsidR="00CE35E8" w:rsidRPr="001356F1" w14:paraId="063BE490" w14:textId="77777777" w:rsidTr="006914A9">
        <w:trPr>
          <w:cantSplit/>
          <w:trHeight w:val="396"/>
        </w:trPr>
        <w:tc>
          <w:tcPr>
            <w:tcW w:w="3969" w:type="dxa"/>
            <w:tcBorders>
              <w:top w:val="nil"/>
              <w:left w:val="single" w:sz="8" w:space="0" w:color="000000"/>
              <w:bottom w:val="nil"/>
              <w:right w:val="nil"/>
            </w:tcBorders>
            <w:shd w:val="clear" w:color="auto" w:fill="auto"/>
          </w:tcPr>
          <w:p w14:paraId="3D9D77BE" w14:textId="77777777"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14:paraId="5D079069" w14:textId="77777777" w:rsidR="00CE35E8" w:rsidRPr="001356F1" w:rsidRDefault="00CE35E8" w:rsidP="006914A9">
            <w:r>
              <w:t>Housing and Property</w:t>
            </w:r>
          </w:p>
        </w:tc>
      </w:tr>
      <w:tr w:rsidR="00CE35E8" w:rsidRPr="001356F1" w14:paraId="610FA5AB" w14:textId="77777777" w:rsidTr="006914A9">
        <w:trPr>
          <w:cantSplit/>
          <w:trHeight w:val="396"/>
        </w:trPr>
        <w:tc>
          <w:tcPr>
            <w:tcW w:w="3969" w:type="dxa"/>
            <w:tcBorders>
              <w:top w:val="nil"/>
              <w:left w:val="single" w:sz="8" w:space="0" w:color="000000"/>
              <w:bottom w:val="nil"/>
              <w:right w:val="nil"/>
            </w:tcBorders>
            <w:shd w:val="clear" w:color="auto" w:fill="auto"/>
          </w:tcPr>
          <w:p w14:paraId="42BC28AD" w14:textId="77777777"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14:paraId="47714FCF" w14:textId="77777777" w:rsidR="00CE35E8" w:rsidRPr="001356F1" w:rsidRDefault="00CE35E8" w:rsidP="006914A9">
            <w:r w:rsidRPr="001356F1">
              <w:t xml:space="preserve">01865 </w:t>
            </w:r>
            <w:r>
              <w:t>252636</w:t>
            </w:r>
            <w:r w:rsidRPr="001356F1">
              <w:t xml:space="preserve">  </w:t>
            </w:r>
          </w:p>
        </w:tc>
      </w:tr>
      <w:tr w:rsidR="00CE35E8" w:rsidRPr="001356F1" w14:paraId="1BEAFAEC" w14:textId="77777777" w:rsidTr="006914A9">
        <w:trPr>
          <w:cantSplit/>
          <w:trHeight w:val="396"/>
        </w:trPr>
        <w:tc>
          <w:tcPr>
            <w:tcW w:w="3969" w:type="dxa"/>
            <w:tcBorders>
              <w:top w:val="nil"/>
              <w:left w:val="single" w:sz="8" w:space="0" w:color="000000"/>
              <w:bottom w:val="single" w:sz="8" w:space="0" w:color="000000"/>
              <w:right w:val="nil"/>
            </w:tcBorders>
            <w:shd w:val="clear" w:color="auto" w:fill="auto"/>
          </w:tcPr>
          <w:p w14:paraId="3053796C" w14:textId="77777777"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65F815" w14:textId="77777777" w:rsidR="00CE35E8" w:rsidRPr="001356F1" w:rsidRDefault="00CE35E8" w:rsidP="006914A9">
            <w:pPr>
              <w:rPr>
                <w:rStyle w:val="Hyperlink"/>
                <w:color w:val="000000"/>
              </w:rPr>
            </w:pPr>
            <w:r>
              <w:rPr>
                <w:rStyle w:val="Hyperlink"/>
                <w:color w:val="000000"/>
              </w:rPr>
              <w:t>dscholes@oxford.gov.uk</w:t>
            </w:r>
          </w:p>
        </w:tc>
      </w:tr>
      <w:tr w:rsidR="00CE35E8" w:rsidRPr="001356F1" w14:paraId="0D79F9C1" w14:textId="77777777"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20A8F98A" w14:textId="77777777" w:rsidR="00CE35E8" w:rsidRPr="001356F1" w:rsidRDefault="00CE35E8" w:rsidP="006914A9">
            <w:r w:rsidRPr="001356F1">
              <w:rPr>
                <w:rStyle w:val="Firstpagetablebold"/>
              </w:rPr>
              <w:t xml:space="preserve">Background Papers: </w:t>
            </w:r>
            <w:r>
              <w:rPr>
                <w:rStyle w:val="Firstpagetablebold"/>
              </w:rPr>
              <w:t xml:space="preserve">                       </w:t>
            </w:r>
            <w:r w:rsidRPr="001356F1">
              <w:rPr>
                <w:rStyle w:val="Firstpagetablebold"/>
              </w:rPr>
              <w:t>None</w:t>
            </w:r>
          </w:p>
        </w:tc>
      </w:tr>
    </w:tbl>
    <w:p w14:paraId="5E60F1FE" w14:textId="77777777" w:rsidR="005735C5" w:rsidRDefault="005735C5" w:rsidP="00C85B4E">
      <w:pPr>
        <w:rPr>
          <w:b/>
        </w:rPr>
      </w:pPr>
    </w:p>
    <w:p w14:paraId="3CF8720D" w14:textId="27D2411B" w:rsidR="00467D9D" w:rsidRDefault="005735C5">
      <w:pPr>
        <w:spacing w:after="0"/>
      </w:pPr>
      <w:r>
        <w:rPr>
          <w:b/>
        </w:rPr>
        <w:br w:type="page"/>
      </w:r>
      <w:bookmarkStart w:id="0" w:name="_GoBack"/>
      <w:bookmarkEnd w:id="0"/>
    </w:p>
    <w:sectPr w:rsidR="00467D9D"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00AA" w14:textId="77777777" w:rsidR="00EB2F77" w:rsidRDefault="00EB2F77" w:rsidP="004A6D2F">
      <w:r>
        <w:separator/>
      </w:r>
    </w:p>
  </w:endnote>
  <w:endnote w:type="continuationSeparator" w:id="0">
    <w:p w14:paraId="1315FA07" w14:textId="77777777" w:rsidR="00EB2F77" w:rsidRDefault="00EB2F77" w:rsidP="004A6D2F">
      <w:r>
        <w:continuationSeparator/>
      </w:r>
    </w:p>
  </w:endnote>
  <w:endnote w:type="continuationNotice" w:id="1">
    <w:p w14:paraId="36CF8AEF" w14:textId="77777777" w:rsidR="00EB2F77" w:rsidRDefault="00EB2F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17A6" w14:textId="77777777" w:rsidR="00364FAD" w:rsidRDefault="00364FAD" w:rsidP="004A6D2F">
    <w:pPr>
      <w:pStyle w:val="Footer"/>
    </w:pPr>
    <w:r>
      <w:t>Do not use a footer or page numbers.</w:t>
    </w:r>
  </w:p>
  <w:p w14:paraId="454C3703" w14:textId="77777777" w:rsidR="00364FAD" w:rsidRDefault="00364FAD" w:rsidP="004A6D2F">
    <w:pPr>
      <w:pStyle w:val="Footer"/>
    </w:pPr>
  </w:p>
  <w:p w14:paraId="17E743B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AD5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E832" w14:textId="77777777" w:rsidR="00EB2F77" w:rsidRDefault="00EB2F77" w:rsidP="004A6D2F">
      <w:r>
        <w:separator/>
      </w:r>
    </w:p>
  </w:footnote>
  <w:footnote w:type="continuationSeparator" w:id="0">
    <w:p w14:paraId="62012158" w14:textId="77777777" w:rsidR="00EB2F77" w:rsidRDefault="00EB2F77" w:rsidP="004A6D2F">
      <w:r>
        <w:continuationSeparator/>
      </w:r>
    </w:p>
  </w:footnote>
  <w:footnote w:type="continuationNotice" w:id="1">
    <w:p w14:paraId="3C5E9505" w14:textId="77777777" w:rsidR="00EB2F77" w:rsidRDefault="00EB2F7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92DE" w14:textId="77777777" w:rsidR="00D5547E" w:rsidRDefault="00CE35E8" w:rsidP="00D5547E">
    <w:pPr>
      <w:pStyle w:val="Header"/>
      <w:jc w:val="right"/>
    </w:pPr>
    <w:r>
      <w:rPr>
        <w:noProof/>
      </w:rPr>
      <w:drawing>
        <wp:inline distT="0" distB="0" distL="0" distR="0" wp14:anchorId="58ADB23C" wp14:editId="1A9B8C6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8365C6"/>
    <w:multiLevelType w:val="multilevel"/>
    <w:tmpl w:val="E67CE66C"/>
    <w:numStyleLink w:val="StyleNumberedLeft0cmHanging075cm"/>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30/06/2020 12:27"/>
  </w:docVars>
  <w:rsids>
    <w:rsidRoot w:val="00614848"/>
    <w:rsid w:val="000070D7"/>
    <w:rsid w:val="00007214"/>
    <w:rsid w:val="000117D4"/>
    <w:rsid w:val="00013CD5"/>
    <w:rsid w:val="0002747F"/>
    <w:rsid w:val="00030A49"/>
    <w:rsid w:val="000314D7"/>
    <w:rsid w:val="0003770D"/>
    <w:rsid w:val="00045459"/>
    <w:rsid w:val="00045F8B"/>
    <w:rsid w:val="00046D2B"/>
    <w:rsid w:val="00047C9D"/>
    <w:rsid w:val="0005389E"/>
    <w:rsid w:val="00056263"/>
    <w:rsid w:val="000623FB"/>
    <w:rsid w:val="0006425F"/>
    <w:rsid w:val="00064D8A"/>
    <w:rsid w:val="00064F82"/>
    <w:rsid w:val="00066510"/>
    <w:rsid w:val="00067B3A"/>
    <w:rsid w:val="000710BA"/>
    <w:rsid w:val="00071693"/>
    <w:rsid w:val="000720DF"/>
    <w:rsid w:val="00072D78"/>
    <w:rsid w:val="00073EE0"/>
    <w:rsid w:val="00077523"/>
    <w:rsid w:val="00094924"/>
    <w:rsid w:val="000A486C"/>
    <w:rsid w:val="000A57F2"/>
    <w:rsid w:val="000A5D44"/>
    <w:rsid w:val="000A6A98"/>
    <w:rsid w:val="000A7251"/>
    <w:rsid w:val="000B1753"/>
    <w:rsid w:val="000B760E"/>
    <w:rsid w:val="000C089F"/>
    <w:rsid w:val="000C3928"/>
    <w:rsid w:val="000C5E8E"/>
    <w:rsid w:val="000D6E39"/>
    <w:rsid w:val="000E20C1"/>
    <w:rsid w:val="000E26C8"/>
    <w:rsid w:val="000E4917"/>
    <w:rsid w:val="000F4751"/>
    <w:rsid w:val="000F4F34"/>
    <w:rsid w:val="0010524C"/>
    <w:rsid w:val="00111FB1"/>
    <w:rsid w:val="00113418"/>
    <w:rsid w:val="00132DDF"/>
    <w:rsid w:val="00134A51"/>
    <w:rsid w:val="001356F1"/>
    <w:rsid w:val="00136994"/>
    <w:rsid w:val="0014128E"/>
    <w:rsid w:val="00151888"/>
    <w:rsid w:val="0015549E"/>
    <w:rsid w:val="001618E5"/>
    <w:rsid w:val="0016406D"/>
    <w:rsid w:val="00170A2D"/>
    <w:rsid w:val="00170BF7"/>
    <w:rsid w:val="001808BC"/>
    <w:rsid w:val="00182B81"/>
    <w:rsid w:val="00182E64"/>
    <w:rsid w:val="0018536C"/>
    <w:rsid w:val="0018619D"/>
    <w:rsid w:val="001A011E"/>
    <w:rsid w:val="001A054D"/>
    <w:rsid w:val="001A066A"/>
    <w:rsid w:val="001A13E6"/>
    <w:rsid w:val="001A5731"/>
    <w:rsid w:val="001B40A3"/>
    <w:rsid w:val="001B42C3"/>
    <w:rsid w:val="001C5D5E"/>
    <w:rsid w:val="001C61DC"/>
    <w:rsid w:val="001C6795"/>
    <w:rsid w:val="001D0059"/>
    <w:rsid w:val="001D13B2"/>
    <w:rsid w:val="001D678D"/>
    <w:rsid w:val="001E03F8"/>
    <w:rsid w:val="001E0D8D"/>
    <w:rsid w:val="001E1678"/>
    <w:rsid w:val="001E3376"/>
    <w:rsid w:val="001F71A3"/>
    <w:rsid w:val="00205E96"/>
    <w:rsid w:val="002069B3"/>
    <w:rsid w:val="00215F8A"/>
    <w:rsid w:val="00216389"/>
    <w:rsid w:val="00226368"/>
    <w:rsid w:val="002329CF"/>
    <w:rsid w:val="00232F5B"/>
    <w:rsid w:val="00234B6D"/>
    <w:rsid w:val="00234BE1"/>
    <w:rsid w:val="002432C3"/>
    <w:rsid w:val="00243F44"/>
    <w:rsid w:val="00244B19"/>
    <w:rsid w:val="00245EC2"/>
    <w:rsid w:val="00247C29"/>
    <w:rsid w:val="0025277C"/>
    <w:rsid w:val="00253620"/>
    <w:rsid w:val="00260467"/>
    <w:rsid w:val="00263EA3"/>
    <w:rsid w:val="00263ED9"/>
    <w:rsid w:val="00266044"/>
    <w:rsid w:val="002675C2"/>
    <w:rsid w:val="0027105A"/>
    <w:rsid w:val="0028325A"/>
    <w:rsid w:val="00283FFB"/>
    <w:rsid w:val="00284F85"/>
    <w:rsid w:val="00287D1B"/>
    <w:rsid w:val="00290915"/>
    <w:rsid w:val="00291558"/>
    <w:rsid w:val="00292559"/>
    <w:rsid w:val="00293E4F"/>
    <w:rsid w:val="002A22E2"/>
    <w:rsid w:val="002A258E"/>
    <w:rsid w:val="002A4B06"/>
    <w:rsid w:val="002B05EB"/>
    <w:rsid w:val="002B5E91"/>
    <w:rsid w:val="002C6211"/>
    <w:rsid w:val="002C64F7"/>
    <w:rsid w:val="002C70C0"/>
    <w:rsid w:val="002D4E97"/>
    <w:rsid w:val="002E0992"/>
    <w:rsid w:val="002E40F7"/>
    <w:rsid w:val="002E5B3F"/>
    <w:rsid w:val="002F2FF3"/>
    <w:rsid w:val="002F41F2"/>
    <w:rsid w:val="002F4E89"/>
    <w:rsid w:val="0030036A"/>
    <w:rsid w:val="00301BF3"/>
    <w:rsid w:val="0030208D"/>
    <w:rsid w:val="00304386"/>
    <w:rsid w:val="00306AAC"/>
    <w:rsid w:val="003118C0"/>
    <w:rsid w:val="003137E6"/>
    <w:rsid w:val="00315310"/>
    <w:rsid w:val="00321F09"/>
    <w:rsid w:val="00323111"/>
    <w:rsid w:val="00323418"/>
    <w:rsid w:val="003270FE"/>
    <w:rsid w:val="00330720"/>
    <w:rsid w:val="00330BA1"/>
    <w:rsid w:val="00334ADA"/>
    <w:rsid w:val="003357BF"/>
    <w:rsid w:val="003461D6"/>
    <w:rsid w:val="00364FAD"/>
    <w:rsid w:val="0036738F"/>
    <w:rsid w:val="0036759C"/>
    <w:rsid w:val="00367AE5"/>
    <w:rsid w:val="00367D71"/>
    <w:rsid w:val="00375302"/>
    <w:rsid w:val="0038150A"/>
    <w:rsid w:val="00381684"/>
    <w:rsid w:val="00385766"/>
    <w:rsid w:val="003A5834"/>
    <w:rsid w:val="003A5AE8"/>
    <w:rsid w:val="003B00A1"/>
    <w:rsid w:val="003B6E75"/>
    <w:rsid w:val="003B7DA1"/>
    <w:rsid w:val="003D0379"/>
    <w:rsid w:val="003D050E"/>
    <w:rsid w:val="003D2574"/>
    <w:rsid w:val="003D4C59"/>
    <w:rsid w:val="003D6DE5"/>
    <w:rsid w:val="003E1A74"/>
    <w:rsid w:val="003E3997"/>
    <w:rsid w:val="003F21F2"/>
    <w:rsid w:val="003F4267"/>
    <w:rsid w:val="003F68A1"/>
    <w:rsid w:val="003F6F5A"/>
    <w:rsid w:val="003F7EB9"/>
    <w:rsid w:val="00404032"/>
    <w:rsid w:val="004053EB"/>
    <w:rsid w:val="0040635C"/>
    <w:rsid w:val="0040736F"/>
    <w:rsid w:val="00412C1F"/>
    <w:rsid w:val="00421CB2"/>
    <w:rsid w:val="004268B9"/>
    <w:rsid w:val="0043185C"/>
    <w:rsid w:val="00433B96"/>
    <w:rsid w:val="004420F8"/>
    <w:rsid w:val="004440F1"/>
    <w:rsid w:val="004456DD"/>
    <w:rsid w:val="00446CDF"/>
    <w:rsid w:val="00446F1C"/>
    <w:rsid w:val="00447FAF"/>
    <w:rsid w:val="004521B7"/>
    <w:rsid w:val="00462AB5"/>
    <w:rsid w:val="004637F9"/>
    <w:rsid w:val="00465EAF"/>
    <w:rsid w:val="00467D9D"/>
    <w:rsid w:val="004738C5"/>
    <w:rsid w:val="0047523A"/>
    <w:rsid w:val="00482FA0"/>
    <w:rsid w:val="00491046"/>
    <w:rsid w:val="0049619C"/>
    <w:rsid w:val="004A2AC7"/>
    <w:rsid w:val="004A6D2F"/>
    <w:rsid w:val="004B1975"/>
    <w:rsid w:val="004B40F3"/>
    <w:rsid w:val="004C2887"/>
    <w:rsid w:val="004D2626"/>
    <w:rsid w:val="004D6E26"/>
    <w:rsid w:val="004D77D3"/>
    <w:rsid w:val="004E2959"/>
    <w:rsid w:val="004E593F"/>
    <w:rsid w:val="004E6BFC"/>
    <w:rsid w:val="004F20EF"/>
    <w:rsid w:val="00502660"/>
    <w:rsid w:val="0050321C"/>
    <w:rsid w:val="00504508"/>
    <w:rsid w:val="005150FF"/>
    <w:rsid w:val="00522346"/>
    <w:rsid w:val="00527D9C"/>
    <w:rsid w:val="0053400A"/>
    <w:rsid w:val="00536145"/>
    <w:rsid w:val="00540FCD"/>
    <w:rsid w:val="0054304B"/>
    <w:rsid w:val="00546350"/>
    <w:rsid w:val="0054712D"/>
    <w:rsid w:val="00547EF6"/>
    <w:rsid w:val="00551329"/>
    <w:rsid w:val="005570B5"/>
    <w:rsid w:val="0056012B"/>
    <w:rsid w:val="00567E18"/>
    <w:rsid w:val="005735C5"/>
    <w:rsid w:val="00575F5F"/>
    <w:rsid w:val="00577F0E"/>
    <w:rsid w:val="00581805"/>
    <w:rsid w:val="00585F76"/>
    <w:rsid w:val="005A2174"/>
    <w:rsid w:val="005A34E4"/>
    <w:rsid w:val="005A3D0A"/>
    <w:rsid w:val="005A442D"/>
    <w:rsid w:val="005A5ABB"/>
    <w:rsid w:val="005B17F2"/>
    <w:rsid w:val="005B552F"/>
    <w:rsid w:val="005B7FB0"/>
    <w:rsid w:val="005C2059"/>
    <w:rsid w:val="005C35A5"/>
    <w:rsid w:val="005C577C"/>
    <w:rsid w:val="005D0621"/>
    <w:rsid w:val="005D1E27"/>
    <w:rsid w:val="005D2A3E"/>
    <w:rsid w:val="005D5D67"/>
    <w:rsid w:val="005E022E"/>
    <w:rsid w:val="005E1F1A"/>
    <w:rsid w:val="005E5215"/>
    <w:rsid w:val="005E65F6"/>
    <w:rsid w:val="005F081D"/>
    <w:rsid w:val="005F41BB"/>
    <w:rsid w:val="005F7F7E"/>
    <w:rsid w:val="00604D9B"/>
    <w:rsid w:val="00614693"/>
    <w:rsid w:val="00614848"/>
    <w:rsid w:val="00623C2F"/>
    <w:rsid w:val="00624392"/>
    <w:rsid w:val="00631EEA"/>
    <w:rsid w:val="00633578"/>
    <w:rsid w:val="006351CA"/>
    <w:rsid w:val="00637068"/>
    <w:rsid w:val="00650811"/>
    <w:rsid w:val="00661D3E"/>
    <w:rsid w:val="0066282C"/>
    <w:rsid w:val="00666133"/>
    <w:rsid w:val="006664C5"/>
    <w:rsid w:val="00670CFA"/>
    <w:rsid w:val="00675EC2"/>
    <w:rsid w:val="00684163"/>
    <w:rsid w:val="00692627"/>
    <w:rsid w:val="00693D01"/>
    <w:rsid w:val="006969E7"/>
    <w:rsid w:val="006A3643"/>
    <w:rsid w:val="006B375F"/>
    <w:rsid w:val="006C1F4A"/>
    <w:rsid w:val="006C2A29"/>
    <w:rsid w:val="006C64CF"/>
    <w:rsid w:val="006C658C"/>
    <w:rsid w:val="006D17B1"/>
    <w:rsid w:val="006D4752"/>
    <w:rsid w:val="006D6E1A"/>
    <w:rsid w:val="006D708A"/>
    <w:rsid w:val="006E123A"/>
    <w:rsid w:val="006E14C1"/>
    <w:rsid w:val="006E1FA9"/>
    <w:rsid w:val="006E3138"/>
    <w:rsid w:val="006E5C1B"/>
    <w:rsid w:val="006F0292"/>
    <w:rsid w:val="006F27FA"/>
    <w:rsid w:val="006F416B"/>
    <w:rsid w:val="006F519B"/>
    <w:rsid w:val="007004C0"/>
    <w:rsid w:val="0070493D"/>
    <w:rsid w:val="00704B2E"/>
    <w:rsid w:val="007062AD"/>
    <w:rsid w:val="007066D0"/>
    <w:rsid w:val="00713675"/>
    <w:rsid w:val="00713DB7"/>
    <w:rsid w:val="00715823"/>
    <w:rsid w:val="00737B93"/>
    <w:rsid w:val="00740314"/>
    <w:rsid w:val="00740FC5"/>
    <w:rsid w:val="00745BF0"/>
    <w:rsid w:val="00760726"/>
    <w:rsid w:val="007615FE"/>
    <w:rsid w:val="00763C12"/>
    <w:rsid w:val="0076655C"/>
    <w:rsid w:val="007742DC"/>
    <w:rsid w:val="00777F84"/>
    <w:rsid w:val="007863A2"/>
    <w:rsid w:val="00790344"/>
    <w:rsid w:val="0079132A"/>
    <w:rsid w:val="00791437"/>
    <w:rsid w:val="007B0C2C"/>
    <w:rsid w:val="007B278E"/>
    <w:rsid w:val="007C3A5D"/>
    <w:rsid w:val="007C5C23"/>
    <w:rsid w:val="007E18D7"/>
    <w:rsid w:val="007E19A0"/>
    <w:rsid w:val="007E2A26"/>
    <w:rsid w:val="007E6632"/>
    <w:rsid w:val="007E68A8"/>
    <w:rsid w:val="007E6FB4"/>
    <w:rsid w:val="007F0D57"/>
    <w:rsid w:val="007F141D"/>
    <w:rsid w:val="007F2348"/>
    <w:rsid w:val="007F7543"/>
    <w:rsid w:val="00801079"/>
    <w:rsid w:val="00803F07"/>
    <w:rsid w:val="0080749A"/>
    <w:rsid w:val="0081463B"/>
    <w:rsid w:val="00821FB8"/>
    <w:rsid w:val="00822ACD"/>
    <w:rsid w:val="00832B9E"/>
    <w:rsid w:val="008331BF"/>
    <w:rsid w:val="00835912"/>
    <w:rsid w:val="00843167"/>
    <w:rsid w:val="008555BD"/>
    <w:rsid w:val="00855C66"/>
    <w:rsid w:val="00865F15"/>
    <w:rsid w:val="00871EE4"/>
    <w:rsid w:val="008749C2"/>
    <w:rsid w:val="00874ED2"/>
    <w:rsid w:val="00880575"/>
    <w:rsid w:val="008879D3"/>
    <w:rsid w:val="008948C1"/>
    <w:rsid w:val="008B1928"/>
    <w:rsid w:val="008B1DE2"/>
    <w:rsid w:val="008B293F"/>
    <w:rsid w:val="008B7371"/>
    <w:rsid w:val="008B74E8"/>
    <w:rsid w:val="008D3DDB"/>
    <w:rsid w:val="008D50C9"/>
    <w:rsid w:val="008E190D"/>
    <w:rsid w:val="008E4342"/>
    <w:rsid w:val="008E5766"/>
    <w:rsid w:val="008F0656"/>
    <w:rsid w:val="008F573F"/>
    <w:rsid w:val="008F5CCC"/>
    <w:rsid w:val="00903042"/>
    <w:rsid w:val="009034EC"/>
    <w:rsid w:val="009037C5"/>
    <w:rsid w:val="00910FD8"/>
    <w:rsid w:val="009125C0"/>
    <w:rsid w:val="00927987"/>
    <w:rsid w:val="0093067A"/>
    <w:rsid w:val="00930B33"/>
    <w:rsid w:val="00933E85"/>
    <w:rsid w:val="00940EC0"/>
    <w:rsid w:val="00941C60"/>
    <w:rsid w:val="00946EEA"/>
    <w:rsid w:val="009654D5"/>
    <w:rsid w:val="00965FD0"/>
    <w:rsid w:val="00966D42"/>
    <w:rsid w:val="00971689"/>
    <w:rsid w:val="00973E90"/>
    <w:rsid w:val="00975B07"/>
    <w:rsid w:val="00980B4A"/>
    <w:rsid w:val="00981A86"/>
    <w:rsid w:val="00981BF4"/>
    <w:rsid w:val="0098401D"/>
    <w:rsid w:val="00984779"/>
    <w:rsid w:val="00985D6F"/>
    <w:rsid w:val="009C35C2"/>
    <w:rsid w:val="009D2304"/>
    <w:rsid w:val="009D34EC"/>
    <w:rsid w:val="009D4490"/>
    <w:rsid w:val="009D453C"/>
    <w:rsid w:val="009E3D0A"/>
    <w:rsid w:val="009E51FC"/>
    <w:rsid w:val="009F1D28"/>
    <w:rsid w:val="009F7618"/>
    <w:rsid w:val="009F7656"/>
    <w:rsid w:val="00A00759"/>
    <w:rsid w:val="00A04D23"/>
    <w:rsid w:val="00A06766"/>
    <w:rsid w:val="00A10133"/>
    <w:rsid w:val="00A1161C"/>
    <w:rsid w:val="00A12B40"/>
    <w:rsid w:val="00A13765"/>
    <w:rsid w:val="00A15CC1"/>
    <w:rsid w:val="00A21B12"/>
    <w:rsid w:val="00A23F80"/>
    <w:rsid w:val="00A24195"/>
    <w:rsid w:val="00A375C0"/>
    <w:rsid w:val="00A46E98"/>
    <w:rsid w:val="00A5617B"/>
    <w:rsid w:val="00A62E4A"/>
    <w:rsid w:val="00A6352B"/>
    <w:rsid w:val="00A653F0"/>
    <w:rsid w:val="00A66DE4"/>
    <w:rsid w:val="00A67B6C"/>
    <w:rsid w:val="00A701B5"/>
    <w:rsid w:val="00A714BB"/>
    <w:rsid w:val="00A73E55"/>
    <w:rsid w:val="00A7478A"/>
    <w:rsid w:val="00A84091"/>
    <w:rsid w:val="00A8471C"/>
    <w:rsid w:val="00A92D8F"/>
    <w:rsid w:val="00A943C9"/>
    <w:rsid w:val="00AA2B6B"/>
    <w:rsid w:val="00AB2988"/>
    <w:rsid w:val="00AB5E4A"/>
    <w:rsid w:val="00AB66FB"/>
    <w:rsid w:val="00AB7999"/>
    <w:rsid w:val="00AD06AB"/>
    <w:rsid w:val="00AD284F"/>
    <w:rsid w:val="00AD3292"/>
    <w:rsid w:val="00AE31DA"/>
    <w:rsid w:val="00AE5F2C"/>
    <w:rsid w:val="00AE6644"/>
    <w:rsid w:val="00AE7774"/>
    <w:rsid w:val="00AE7AF0"/>
    <w:rsid w:val="00AF424F"/>
    <w:rsid w:val="00B00C0D"/>
    <w:rsid w:val="00B02F29"/>
    <w:rsid w:val="00B05184"/>
    <w:rsid w:val="00B148D0"/>
    <w:rsid w:val="00B157CF"/>
    <w:rsid w:val="00B220E4"/>
    <w:rsid w:val="00B24201"/>
    <w:rsid w:val="00B33B34"/>
    <w:rsid w:val="00B35FF5"/>
    <w:rsid w:val="00B458E2"/>
    <w:rsid w:val="00B500CA"/>
    <w:rsid w:val="00B65CE7"/>
    <w:rsid w:val="00B86314"/>
    <w:rsid w:val="00B90843"/>
    <w:rsid w:val="00B92C58"/>
    <w:rsid w:val="00B94A3A"/>
    <w:rsid w:val="00BA1C2E"/>
    <w:rsid w:val="00BA1CB5"/>
    <w:rsid w:val="00BB722D"/>
    <w:rsid w:val="00BC047B"/>
    <w:rsid w:val="00BC200B"/>
    <w:rsid w:val="00BC4756"/>
    <w:rsid w:val="00BC57C3"/>
    <w:rsid w:val="00BC69A4"/>
    <w:rsid w:val="00BE0680"/>
    <w:rsid w:val="00BE1C82"/>
    <w:rsid w:val="00BE305F"/>
    <w:rsid w:val="00BE5C7D"/>
    <w:rsid w:val="00BE7BA3"/>
    <w:rsid w:val="00BF0E31"/>
    <w:rsid w:val="00BF3255"/>
    <w:rsid w:val="00BF5682"/>
    <w:rsid w:val="00BF5FFA"/>
    <w:rsid w:val="00BF7B09"/>
    <w:rsid w:val="00C15DB0"/>
    <w:rsid w:val="00C20A95"/>
    <w:rsid w:val="00C20DDD"/>
    <w:rsid w:val="00C2692F"/>
    <w:rsid w:val="00C3207C"/>
    <w:rsid w:val="00C400E1"/>
    <w:rsid w:val="00C4111E"/>
    <w:rsid w:val="00C41187"/>
    <w:rsid w:val="00C41220"/>
    <w:rsid w:val="00C41493"/>
    <w:rsid w:val="00C52F3F"/>
    <w:rsid w:val="00C637A6"/>
    <w:rsid w:val="00C63C31"/>
    <w:rsid w:val="00C655F2"/>
    <w:rsid w:val="00C757A0"/>
    <w:rsid w:val="00C760DE"/>
    <w:rsid w:val="00C82630"/>
    <w:rsid w:val="00C83289"/>
    <w:rsid w:val="00C832DE"/>
    <w:rsid w:val="00C83558"/>
    <w:rsid w:val="00C835D0"/>
    <w:rsid w:val="00C85B4E"/>
    <w:rsid w:val="00C907F7"/>
    <w:rsid w:val="00C938DE"/>
    <w:rsid w:val="00CA2103"/>
    <w:rsid w:val="00CA2F3E"/>
    <w:rsid w:val="00CA747F"/>
    <w:rsid w:val="00CB0338"/>
    <w:rsid w:val="00CB597B"/>
    <w:rsid w:val="00CB6B99"/>
    <w:rsid w:val="00CB7B88"/>
    <w:rsid w:val="00CC2427"/>
    <w:rsid w:val="00CC42CC"/>
    <w:rsid w:val="00CC45EE"/>
    <w:rsid w:val="00CD2B01"/>
    <w:rsid w:val="00CD439C"/>
    <w:rsid w:val="00CD624E"/>
    <w:rsid w:val="00CD700A"/>
    <w:rsid w:val="00CE35E8"/>
    <w:rsid w:val="00CE4C87"/>
    <w:rsid w:val="00CE544A"/>
    <w:rsid w:val="00CE791F"/>
    <w:rsid w:val="00CE7E27"/>
    <w:rsid w:val="00CF1D2F"/>
    <w:rsid w:val="00CF296F"/>
    <w:rsid w:val="00D11E1C"/>
    <w:rsid w:val="00D1272D"/>
    <w:rsid w:val="00D160B0"/>
    <w:rsid w:val="00D17F94"/>
    <w:rsid w:val="00D223FC"/>
    <w:rsid w:val="00D26D1E"/>
    <w:rsid w:val="00D3546E"/>
    <w:rsid w:val="00D45AD7"/>
    <w:rsid w:val="00D467B0"/>
    <w:rsid w:val="00D474CF"/>
    <w:rsid w:val="00D52A5A"/>
    <w:rsid w:val="00D5547E"/>
    <w:rsid w:val="00D64E30"/>
    <w:rsid w:val="00D80231"/>
    <w:rsid w:val="00D803F6"/>
    <w:rsid w:val="00D8373E"/>
    <w:rsid w:val="00D869A1"/>
    <w:rsid w:val="00D9587A"/>
    <w:rsid w:val="00D969D5"/>
    <w:rsid w:val="00DA413F"/>
    <w:rsid w:val="00DA4584"/>
    <w:rsid w:val="00DA614B"/>
    <w:rsid w:val="00DB167B"/>
    <w:rsid w:val="00DB1C95"/>
    <w:rsid w:val="00DC3060"/>
    <w:rsid w:val="00DC3BCC"/>
    <w:rsid w:val="00DC4C64"/>
    <w:rsid w:val="00DC4E3F"/>
    <w:rsid w:val="00DC7F00"/>
    <w:rsid w:val="00DD7FF2"/>
    <w:rsid w:val="00DE0FB2"/>
    <w:rsid w:val="00DE335D"/>
    <w:rsid w:val="00DE33DE"/>
    <w:rsid w:val="00DE59E6"/>
    <w:rsid w:val="00DF093E"/>
    <w:rsid w:val="00DF4510"/>
    <w:rsid w:val="00DF6CF8"/>
    <w:rsid w:val="00E00C44"/>
    <w:rsid w:val="00E01F42"/>
    <w:rsid w:val="00E04CA2"/>
    <w:rsid w:val="00E13D13"/>
    <w:rsid w:val="00E206D6"/>
    <w:rsid w:val="00E26F83"/>
    <w:rsid w:val="00E3366E"/>
    <w:rsid w:val="00E40916"/>
    <w:rsid w:val="00E43C01"/>
    <w:rsid w:val="00E44CBF"/>
    <w:rsid w:val="00E4732E"/>
    <w:rsid w:val="00E52086"/>
    <w:rsid w:val="00E543A6"/>
    <w:rsid w:val="00E60479"/>
    <w:rsid w:val="00E61D73"/>
    <w:rsid w:val="00E61E15"/>
    <w:rsid w:val="00E7079F"/>
    <w:rsid w:val="00E73684"/>
    <w:rsid w:val="00E7772B"/>
    <w:rsid w:val="00E818D6"/>
    <w:rsid w:val="00E84138"/>
    <w:rsid w:val="00E84578"/>
    <w:rsid w:val="00E851C5"/>
    <w:rsid w:val="00E87F7A"/>
    <w:rsid w:val="00E954CC"/>
    <w:rsid w:val="00E96BD7"/>
    <w:rsid w:val="00EA0DB1"/>
    <w:rsid w:val="00EA0DD4"/>
    <w:rsid w:val="00EA0EE9"/>
    <w:rsid w:val="00EA4DB1"/>
    <w:rsid w:val="00EB2F77"/>
    <w:rsid w:val="00EB3F16"/>
    <w:rsid w:val="00EB7F64"/>
    <w:rsid w:val="00EC15E6"/>
    <w:rsid w:val="00ED52CA"/>
    <w:rsid w:val="00ED5860"/>
    <w:rsid w:val="00EE35C9"/>
    <w:rsid w:val="00EF73AA"/>
    <w:rsid w:val="00F05ECA"/>
    <w:rsid w:val="00F13671"/>
    <w:rsid w:val="00F14D6B"/>
    <w:rsid w:val="00F30F73"/>
    <w:rsid w:val="00F31E21"/>
    <w:rsid w:val="00F3566E"/>
    <w:rsid w:val="00F375FB"/>
    <w:rsid w:val="00F408B3"/>
    <w:rsid w:val="00F41AC1"/>
    <w:rsid w:val="00F4367A"/>
    <w:rsid w:val="00F445B1"/>
    <w:rsid w:val="00F45CD4"/>
    <w:rsid w:val="00F525EF"/>
    <w:rsid w:val="00F537AC"/>
    <w:rsid w:val="00F62CB2"/>
    <w:rsid w:val="00F66DCA"/>
    <w:rsid w:val="00F74F53"/>
    <w:rsid w:val="00F7606D"/>
    <w:rsid w:val="00F76575"/>
    <w:rsid w:val="00F81670"/>
    <w:rsid w:val="00F82024"/>
    <w:rsid w:val="00F8436D"/>
    <w:rsid w:val="00F873C6"/>
    <w:rsid w:val="00F95BC9"/>
    <w:rsid w:val="00F97E07"/>
    <w:rsid w:val="00FA0742"/>
    <w:rsid w:val="00FA551F"/>
    <w:rsid w:val="00FA624C"/>
    <w:rsid w:val="00FC6127"/>
    <w:rsid w:val="00FC70B5"/>
    <w:rsid w:val="00FD0FAC"/>
    <w:rsid w:val="00FD1DFA"/>
    <w:rsid w:val="00FD1EEB"/>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DB3D1B"/>
  <w15:docId w15:val="{46CFFF6D-7DD3-40F8-A75E-8760D1B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nhideWhenUsed/>
    <w:qFormat/>
    <w:rsid w:val="000070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 w:type="character" w:customStyle="1" w:styleId="Heading3Char">
    <w:name w:val="Heading 3 Char"/>
    <w:basedOn w:val="DefaultParagraphFont"/>
    <w:link w:val="Heading3"/>
    <w:rsid w:val="000070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54072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2990267">
      <w:bodyDiv w:val="1"/>
      <w:marLeft w:val="0"/>
      <w:marRight w:val="0"/>
      <w:marTop w:val="0"/>
      <w:marBottom w:val="0"/>
      <w:divBdr>
        <w:top w:val="none" w:sz="0" w:space="0" w:color="auto"/>
        <w:left w:val="none" w:sz="0" w:space="0" w:color="auto"/>
        <w:bottom w:val="none" w:sz="0" w:space="0" w:color="auto"/>
        <w:right w:val="none" w:sz="0" w:space="0" w:color="auto"/>
      </w:divBdr>
    </w:div>
    <w:div w:id="47633902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1085829">
      <w:bodyDiv w:val="1"/>
      <w:marLeft w:val="0"/>
      <w:marRight w:val="0"/>
      <w:marTop w:val="0"/>
      <w:marBottom w:val="0"/>
      <w:divBdr>
        <w:top w:val="none" w:sz="0" w:space="0" w:color="auto"/>
        <w:left w:val="none" w:sz="0" w:space="0" w:color="auto"/>
        <w:bottom w:val="none" w:sz="0" w:space="0" w:color="auto"/>
        <w:right w:val="none" w:sz="0" w:space="0" w:color="auto"/>
      </w:divBdr>
    </w:div>
    <w:div w:id="975991278">
      <w:bodyDiv w:val="1"/>
      <w:marLeft w:val="0"/>
      <w:marRight w:val="0"/>
      <w:marTop w:val="0"/>
      <w:marBottom w:val="0"/>
      <w:divBdr>
        <w:top w:val="none" w:sz="0" w:space="0" w:color="auto"/>
        <w:left w:val="none" w:sz="0" w:space="0" w:color="auto"/>
        <w:bottom w:val="none" w:sz="0" w:space="0" w:color="auto"/>
        <w:right w:val="none" w:sz="0" w:space="0" w:color="auto"/>
      </w:divBdr>
    </w:div>
    <w:div w:id="1041176158">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80624027">
      <w:bodyDiv w:val="1"/>
      <w:marLeft w:val="0"/>
      <w:marRight w:val="0"/>
      <w:marTop w:val="0"/>
      <w:marBottom w:val="0"/>
      <w:divBdr>
        <w:top w:val="none" w:sz="0" w:space="0" w:color="auto"/>
        <w:left w:val="none" w:sz="0" w:space="0" w:color="auto"/>
        <w:bottom w:val="none" w:sz="0" w:space="0" w:color="auto"/>
        <w:right w:val="none" w:sz="0" w:space="0" w:color="auto"/>
      </w:divBdr>
    </w:div>
    <w:div w:id="1921022703">
      <w:bodyDiv w:val="1"/>
      <w:marLeft w:val="0"/>
      <w:marRight w:val="0"/>
      <w:marTop w:val="0"/>
      <w:marBottom w:val="0"/>
      <w:divBdr>
        <w:top w:val="none" w:sz="0" w:space="0" w:color="auto"/>
        <w:left w:val="none" w:sz="0" w:space="0" w:color="auto"/>
        <w:bottom w:val="none" w:sz="0" w:space="0" w:color="auto"/>
        <w:right w:val="none" w:sz="0" w:space="0" w:color="auto"/>
      </w:divBdr>
    </w:div>
    <w:div w:id="2004623108">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DFAA-CC40-49B4-94CC-59F933D9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16</TotalTime>
  <Pages>5</Pages>
  <Words>1221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Dave.Scholes</dc:creator>
  <cp:lastModifiedBy>MITCHELL John</cp:lastModifiedBy>
  <cp:revision>4</cp:revision>
  <cp:lastPrinted>2019-11-11T10:15:00Z</cp:lastPrinted>
  <dcterms:created xsi:type="dcterms:W3CDTF">2020-10-16T12:26:00Z</dcterms:created>
  <dcterms:modified xsi:type="dcterms:W3CDTF">2020-11-02T14:13:00Z</dcterms:modified>
</cp:coreProperties>
</file>